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C67F3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7E5CD5C7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II - Petycja Odrębna </w:t>
      </w:r>
    </w:p>
    <w:p w14:paraId="4A8220EA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Procedowana w trybie Ustawy o petycjach (Dz.U.2018.870 t.j. z dnia 2018.05.10) - dla ułatwienia i zmniejszenia biurokracji dołączamy ją do niniejszego wniosku. Nie jest to łączenie trybów - zatem prosimy kwalifikować niniejsze pisma jako dwa środki prawne - wniosek oznaczoną - I i odrębną petycję oznaczoną II  - vide -  J. Borkowski (w:) B. Adamiak, J. Borkowski, Kodeks postępowania…, s. 668; por. także art. 12 ust. 1 komentowanej ustawy - dostępne w sieci Internet.  </w:t>
      </w:r>
    </w:p>
    <w:p w14:paraId="7D3580F4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Dla odseparowania od wniosku - petycjodawca - postulaty związane z petycją - numeruje nowymi oznaczeniami od §2, etc </w:t>
      </w:r>
    </w:p>
    <w:p w14:paraId="08A10994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4F92CD6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Preambuła petycji: </w:t>
      </w:r>
    </w:p>
    <w:p w14:paraId="0639DED2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7525BFEE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 kontekście alarmujących informacji dotyczących plagi związanej z nadużywaniem alkoholu i środków odurzających wśród młodzieży - vide: https://www.tvp.info/43314343/raport-o-dopalaczach-zgon-prawie-co-drugi-dzien-najczesciej-wsrod-mlodych-osob         </w:t>
      </w:r>
    </w:p>
    <w:p w14:paraId="4440FCA8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C2981CA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F64E42C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§2) Wnosimy aby Kierownik JST wraz z Gminną Komisją Rozwiązywania Problemów Alkoholowych - wzorem takich państw jak Niemcy czy Francja zaplanowali jak najszybsze wykorzystanie narzędzi związanych z Internetem i Informatyzacją - sensu largo do wykorzystania w ramach działań Gminy, Szkół, OPS’ów właściwych miejscowo dla terenu Gminy.</w:t>
      </w:r>
    </w:p>
    <w:p w14:paraId="4C9231E4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Wykorzystanie mediów związanych z informatyzacją i Internetem w tym w szczególności mediów społecznościowych - zdaniem wnioskodawcy powinno mieć miejsce szczególnie na polu  informacji i edukacji dostępnej na stronach WWW i BIP - szczególnie o charakterze - prewencji, profilaktyki i dostarczania informacji - młodym osobom - poszukującym jej w zakresie lokalnym. </w:t>
      </w:r>
    </w:p>
    <w:p w14:paraId="1F90E3BA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47D1FA1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 USA strony WWW tego typu prowadzone przez Hrabstwa - zawierają nawet porady psychologów -czy  operują per analogiam (jak to czyni się na paczkach papierosów) -  obrazkami odstraszającymi - pokazującymi na przykładach - skutki stosowania używek, etc ponadto  Czaty, grupy dyskusyjne  i wszelkiego rodzaju nowoczesne narzędzia, których celem jest zyskanie percepcji u Dzieci i Młodzieży - tak aby dając pomysły na spędzenie wolnego czasu - odciągnąć Dzieci i Młodzież zarówno od sięgania po dopalacze i używki . </w:t>
      </w: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Jednocześnie są to strony WWW nie absorbujące permanentnej uwagi odbiorców - mają głównie za zadanie tyko sygnalizować, odstraszać i chwilowo zyskiwać percepcję. </w:t>
      </w:r>
    </w:p>
    <w:p w14:paraId="1F331ACA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 Polsce na stronach WWW Gmin - jest to często jedynie - zakładka typu - “Sprawozdanie Gminnej Komisji Rozwiązywania Problemów Alkoholowych” - ciekawe czy z braku innych informacji Młody człowiek - zamiast ulegać pokusom stosowania używek - “zatopi się" w studiowanie sprawozdania Komisji - sic! - ad exemplum: http://www.urzadgminy.gniezno.pl/portal/gkrpa.html     - vide - odnośnik w dole prawego Menu </w:t>
      </w:r>
    </w:p>
    <w:p w14:paraId="06976CCF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7A36083A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Osnowa Petycji: </w:t>
      </w:r>
    </w:p>
    <w:p w14:paraId="05E6A0C5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Jeśli w tym roku rzeczone środki nie zostały jeszcze w całości wykorzystane - wnosimy aby zaplanować odpowiednie działania - jeszcze w tym roku - ad hoc.  </w:t>
      </w:r>
    </w:p>
    <w:p w14:paraId="7BB2573E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Zatem zgodnie z art. 2 ust. 2 pkt 1 i 2 Ustawy o petycjach w związku z art. 28 KPA i 241 KPA – petycjodawca posiada interes prawny w tym obszarze – chcąc łączyć uzasadniony interes społeczny pro publico bono z interesem ekonomicznym podmiotu prowadzącego działalność gospodarczą w tym obszarze już ponad prawie 25 lat. Oczywiście chcemy poddać się wszelkim zasadom uczciwej konkurencji w ramach zasad wydatkowania środków publicznych przez Jednostkę Administracji Publicznej - w zakresie celów  – w tym </w:t>
      </w: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lastRenderedPageBreak/>
        <w:t>akurat przypadku – określonych w art. 4 index 1 Ustawy z dnia 26 października 1982 r. o wychowaniu w trzeźwości i przeciwdziałaniu alkoholizmowi (Dz.U. z 2018r. poz. 2137) </w:t>
      </w:r>
    </w:p>
    <w:p w14:paraId="03C9CFC7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7034A848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Podkreślamy ponownie, że długofalowym celem wykorzystania rzeczonych narzędzi  - scilicet stron WWW - byłaby pomoc  młodym ludziom i Rodzicom poszukującym tego typu informacji w Internecie również w zakresie zwiększania świadomości dotyczącej problematyki związanej z przeciwdziałaniem patologiom wśród dzieci i młodzieży szkolnej w związku z nadużywaniem alkoholu i środków odurzających.</w:t>
      </w:r>
    </w:p>
    <w:p w14:paraId="2F28CBB1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B1B10C1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Wnioskodawca/petycjodawca - wykonuje tego typu usługi związane z utworzeniem strony WWW - zgodnej z wymogami Rozporządzenia Rady Ministrów z  dnia 12 kwietnia 2012 r. w sprawie Krajowych Ram Interoperacyjności, minimalnych wymagań dla rejestrów publicznych i wymiany informacji w postaci elektronicznej oraz minimalnych wymagań dla systemów teleinformatycznych (Dz.U.2017.2247 t.j. z 2017.12.05)</w:t>
      </w:r>
    </w:p>
    <w:p w14:paraId="685E9294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Serwis tego typu może jednocześnie promować działania związane ze zdrowym stylem życia - scilicet - informować o szkodliwości stosowania używek czy nadużywania alkoholu - a także informować o zadaniach i zakresie kompetencji Ośrodka Pomocy Społecznej. </w:t>
      </w:r>
    </w:p>
    <w:p w14:paraId="0F2A2923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5F78D05F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8DEB03E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Ceny na rynku  - oscylują od 1000 pln do 5000 pln + vat  - za utworzenie (opłata jednorazowa) </w:t>
      </w:r>
    </w:p>
    <w:p w14:paraId="521C0B4C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8EA351C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Jeśli - postępowanie jest prowadzone uczciwie  z uwzględnieniem zasad uczciwej konkurencji i z poszanowaniem zasad maksymalizacji oszczędności środków publicznych  - Wnioskodawca  często wygrywa i wykonuje rzeczoną usługę. W przypadku tego typu zleceń jesteśmy w stanie wykonać rzeczone zlecenie  w kwocie 1000 pln + vat produkcja jednorazowo i utrzymanie 1000 pln - rocznie (w pewnych przypadkach rezygnujemy nawet z wynagrodzenia za utrzymanie)</w:t>
      </w:r>
    </w:p>
    <w:p w14:paraId="6C04261F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763760E1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Przy tego typu kwotach - chcemy i musimy oczywiście podać się zasadom uczciwej konkurencji – w naszym mniemaniu może być to tryb negocjacji cen - scilicet - w związku z art. 54 i 55 Ustawy Prawo zamówień publicznych  (Dz.U.2018.1986 t.j. z 2018.10.16)</w:t>
      </w:r>
    </w:p>
    <w:p w14:paraId="458C8E0D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C325B5E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Tego typu działania muszą być zawsze jawne, transparentne oraz prowadzone w pełni lege artis z uwzględnieniem zasad uczciwej konkurencji.</w:t>
      </w:r>
    </w:p>
    <w:p w14:paraId="72E80C66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B308A6F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Sugerujemy tylko aby tworzenie tak prostych stron - nie skończyło się zamówieniem - ad absurdum - TAK JAK zrobił to jeden SĄDÓW naszym kraju (o polskich Sędziach krążą już anegdoty) - wydatkując - absurdalną kwotę pół miliona złotych - za prostą stronę WWW - i łamiąc jeszcze do tego przepisy prawa - sic ! - o czym czytać można w materiałach prasowych i instytucji kontrolnych - vide:  https://www.gazetaprawna.pl/artykuly/719574,sad-najwyzszy-zamowil-droga-strone-internetowa-bez-przetargu-zlamal-prawo.html</w:t>
      </w:r>
    </w:p>
    <w:p w14:paraId="203B9506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Podajemy ten przykład dlatego, że jesteśmy uczuleni - ex katedra na przykłady - kiedy niektóre Gminy lub GOPS’y wydatkują absurdalne kwoty na tworzenie prostych stron WWW (niezwiązanych akurat z zadaniami wykonywanymi przez GKRPA)  u naszej konkurencji - co prawda nie tak wysokie jak powołany wyżej przykład Sądu, ale nawet 10 % kwoty, którą wydał wyżej powołany Sąd na tego typu usługi wydaje się - krańcową niegospodarnością i nieuczciwością i powinno być piętnowane przy każdej okazji. </w:t>
      </w:r>
    </w:p>
    <w:p w14:paraId="28D0D2B6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 xml:space="preserve">O tego typu absurdalnych wydatkach można czytać w niektórych zakończonych postępowaniach na BIP’ach i niektórych stronach WWW Gmin i Ośrodków Pomocy Społecznej - choć nie są to tak częste przypadki, jak w przypadku Sadów - za poprzednich władz - w latach 2007 - 2015 - kiedy skala tych nieprawidłowości dochodziła do ekstremum - włącznie z korupcją (za poprzednich Rządów) w MSWiA w </w:t>
      </w: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lastRenderedPageBreak/>
        <w:t>2011 r. - vide https://www.newsweek.pl/polska/korupcja-w-mswia-beda-kolejne-zatrzymania-w-mswia/z2pwd3v </w:t>
      </w:r>
    </w:p>
    <w:p w14:paraId="6E304730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D27E9AF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Rozpisujemy się na ten temat tak szeroko, gdyż nie chcemy aby efektem niniejszej petycji  były jakieś działania Decydentów związane z wydatkowaniem nierynkowych kwot. Wręcz przeciwnie expressis verbis - zaznaczamy, że działania te można realizować wydatkując - ad hoc - niewielkie kwoty - a naszym celem nie jest doprowadzenie do sytuacji, w której w miejsce niewydatkowania środków (co jak sygnalizuje NIK jest deliktem prawnym) - nastąpiłoby marnotrawienie środków publicznych - co jest przestępstwem w naszym mniemaniu i o czym można czytać powyżej.</w:t>
      </w:r>
    </w:p>
    <w:p w14:paraId="0F3CB21F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Jawność i transparentność w Gminach - powinna właśnie - znaleźć szczególny wyraz z publikatorach internetowych - typu BIP i WWW - może wtedy - w ramach większej kontroli społecznej nie dochodziłoby do przypadków jak https://www.tvp.info/40819340/wyplacila-sobie-177-tys-zl-z-konta-osrodka-pomocy-spolecznej-zarzuty-dla-bylej-kierowniczki   </w:t>
      </w:r>
    </w:p>
    <w:p w14:paraId="268A170B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AA2DB4A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74C354A3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492D83F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§3) </w:t>
      </w: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Aby zachować pełną jawność i transparentność działań </w:t>
      </w: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- wnosimy o opublikowanie treści petycji - wraz z załącznikami - na stronie internetowej WWW lub BIP podmiotu rozpatrującego petycję - w tym przypadku Gminy/Miasta   (Adresata)  - </w:t>
      </w: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na podstawie art. 8 ust. 1 ww. Ustawy o petycjach </w:t>
      </w: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 - co jest jednoznaczne z wyrażeniem zgody na publikację wszystkich danych podmiotu wnoszącego petycję.</w:t>
      </w: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Chcemy działać w pełni jawnie i transparentnie. Jeśli należy coś zanimizować - proszę to uczynić - ale nie widzimy takich danych (dane Urzędników nie podlegają animizacji - uczeń sygnował opinię jedynie inicjałem nazwiska, etc)  </w:t>
      </w:r>
    </w:p>
    <w:p w14:paraId="107E9313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62DCFD7E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52F5B073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Optymalizację i wdrożenie procedury sanacyjnej - Petycjodawca - rozumie w tym przypadku - jako - ad exemplum - skuteczniejszą walkę z patologiami.  </w:t>
      </w:r>
    </w:p>
    <w:p w14:paraId="367F1846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4D30FDE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Dla zobrazowania problematyki bezczynności Gmin w ratowaniu młodzieży i dzieci dla których przeznaczony powinien być fundusz korkowy załączamy przykładową odpowiedź Gminy Biskupice (o której wzmiankowaliśmy powyżej), która expressis verbis potwierdza niewydatkowanie ponad 70 % rzeczonego budżetu - </w:t>
      </w:r>
    </w:p>
    <w:p w14:paraId="70149AB3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- to nie wyjątek ale wręcz uzus - w co nikt nie wierzy dopóki nie zobaczy posiadanych przez nas odpowiedzi z Gmin - sygnowanych przez Decydentów.  </w:t>
      </w:r>
    </w:p>
    <w:p w14:paraId="617FCA2C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7E7BF1A4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73F223DA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Tymczasem można wykorzytać narzędzie Internetowe do prewencji - in fine wniosku  - załączamy dokumenty przedstawiające stanowisko PRARPA w kwestii wykorzystania narzędzi Internetowych do walki z patologiami. </w:t>
      </w:r>
    </w:p>
    <w:p w14:paraId="2B564507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7A2E780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Co więcej - in fine wniosku - znajduje się załącznik z odpowiedzią z Gminy Aleksandrów Drugi (pow. biłgorajski) - z której wynika, że są w Polsce Gminy, które i prawie 50% środków uzyskiwanych od Podatników zgodnie z Ustawą o wychowaniu w trzeźwości i przeciwdziałaniu alkoholizmowi - wydatkują na ... wynagrodzenia Gminnych Komisji Rozwiązywania Problemów Alkoholowych. W załączeniu odnośny przykład wg. Odpowiedzi sygnowanej przez Wójta - na zakup materiałów Gmina wydatkowała 499,38 pln , a na wyangrodzenia członków Komisji ... 13 382,73 zł. - sic! Tymczasem rzeczone środki powinny być wydatkowane par excellence - na walkę z alkoholizmem i narkomanią ! wszak leczenia wymagają osoby uzależnione ... nie Urzędnicy Komisji.</w:t>
      </w:r>
    </w:p>
    <w:p w14:paraId="2F97D7B1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14:paraId="6F3A71FF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lastRenderedPageBreak/>
        <w:t>Pozwalamy sobie powtórzyć, że w opinii Wnioskodawców,  Wydziały/Referaty i Urzędnicy (Stanowiska Jednoosobowe) - posiadający w zakresie swoich kompetencji sprawy związane - sensu largo - z ulepszeniem organizacji i usprawnieniem pracy Jednostki,  a także lepszym zaspokojeniem potrzeb ludności ludności i redukcją wydatków publicznych  - powinny angażować się w tego typu procedury sanacyjne.</w:t>
      </w:r>
    </w:p>
    <w:p w14:paraId="30343587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5DF6597A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ED38A91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Pomimo, że nie wnioskujemy o informację przetworzoną w zakresie wymagającym znacznych nakładów pracy, uzasadniamy nasze pytania  stosownie do brzmienia art. 3 ust. 1 pkt. 1 Ustawy o dostępie do informacji publicznej  – tym, że przedmiotowa informacja oraz ewentualna późniejsza  próba optymalizacji tego obszaru wydaje się szczególnie istotna z punktu widzenia Interesu Społecznego. </w:t>
      </w:r>
    </w:p>
    <w:p w14:paraId="2477B013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EAA82C0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E66BBEC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Przewidujemy opublikowanie efektów Akcji na naszym portalu www.gmina.pl </w:t>
      </w:r>
    </w:p>
    <w:p w14:paraId="1643FABE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8F712BB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14:paraId="49966341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§4) Wnosimy o zwrotne potwierdzenie otrzymania niniejszego wniosku i petycji w trybie - odnośnych przepisów prawa -  na adres e-mail stopaferom@samorzad.pl</w:t>
      </w:r>
    </w:p>
    <w:p w14:paraId="296A8DDB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§5) Wnosimy o to, aby odpowiedź w  przedmiocie powyższych pytań złożonych na mocy art. 61 Konstytucji RP w związku z art.  241 KPA, została udzielona - zwrotnie na adres e-mail stopaferom@samorzad.pl  - stosownie do art. 13 ww. ustawy . Wnoszę</w:t>
      </w: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 aby odpowiedź została udzielona w formie przewidzianej w art. 39 index 1 §1 pkt. 1 Ustawy KPA.  </w:t>
      </w:r>
    </w:p>
    <w:p w14:paraId="77D0CAD8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002BAD4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Wniosek został sygnowany  kwalifikowanym podpisem elektronicznym - stosownie do wytycznych Ustawy z dnia 5 września 2016 r. o usługach zaufania oraz identyfikacji elektronicznej (Dz.U.2016.1579 dnia 2016.09.29)</w:t>
      </w:r>
    </w:p>
    <w:p w14:paraId="23C62252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31F6C53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III - Wniosek odręby w trybie Rozporządzenia w sprawie instrukcji kancelaryjnej: </w:t>
      </w:r>
    </w:p>
    <w:p w14:paraId="678B5908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Zwracamy uwagę, że </w:t>
      </w: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Ustawodawca</w:t>
      </w: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do tego stopnia stara się - poszerzyć spektrum możliwości porównywania cen i wyboru różnych opcji rynkowych oraz przeciwdziałać korupcji w Administracji Publicznej - </w:t>
      </w: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że zasugerował  w §6 ust. 2 pkt. 2 załącznika nr 1 do Rozporządzenia Prezesa Rady Ministrów z dnia 18 stycznia 2011 r. w sprawie instrukcji kancelaryjnej, (…) (Dz. U. z dnia 20 stycznia 2011 r.) -  </w:t>
      </w: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przypisanie/archiwizowanie,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67E3808B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DC72FE9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§7) Aby zachować pełną jawność i transparentność działań - na podstawie wzmiankowanego powyżej §6 ust. 2 pkt. 2 zal. nr 1 w sprawie instrukcji kancelaryjnej - </w:t>
      </w: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wnosimy o podanie klasy z wykazu akt pod którą zarchiwizowano/przypis.  załączoną in fine - przykładową umowę - scilicet : zgodnie z brzmieniem rzeczonego przepisu: </w:t>
      </w: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"Dokumentacja nietworząca akt spraw to dokumentacja, która nie została przyporządkowana do sprawy, a jedynie do klasy z wykazu akt. </w:t>
      </w:r>
    </w:p>
    <w:p w14:paraId="7D85C832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2.Dokumentację, o której mowa w ust. 1, mogą stanowić w szczególności:  1) zaproszenia, życzenia, podziękowania, kondolencje, jeżeli nie stanowią części akt sprawy; </w:t>
      </w:r>
    </w:p>
    <w:p w14:paraId="105E1C1B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2) </w:t>
      </w: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niezamawiane przez podmiot oferty, które nie zostały wykorzystane; </w:t>
      </w:r>
    </w:p>
    <w:p w14:paraId="0568E7B1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3) publikacje (dzienniki urzędowe, czasopisma, katalogi, książki, gazety, afisze, ogłoszenia) oraz inne druki, chyba że stanowią załącznik do pisma; (...) “</w:t>
      </w:r>
    </w:p>
    <w:p w14:paraId="248D2767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562D5370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IV - Wniosek odrębny w trybie Ustawy z dnia 14 czerwca 1960 r. Kodeks postępowania administracyjnego (Dz.U.2017.1257 t.j. z 2017.06.27) </w:t>
      </w:r>
    </w:p>
    <w:p w14:paraId="23E6D24C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§8) Wnosimy o wyznaczenie terminy rozmowy telefonicznej - z Kierownikiem JST - w trybie art. 253 KPA - w dzień przyjęć Interesantów w sprawach skarg i wniosków. </w:t>
      </w:r>
    </w:p>
    <w:p w14:paraId="691E6295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lastRenderedPageBreak/>
        <w:t>W zakresie tego punktu wnosimy o podanie w odpowiedzi wyznaczonego dnia i godziny </w:t>
      </w:r>
    </w:p>
    <w:p w14:paraId="4DB8D814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  </w:t>
      </w:r>
    </w:p>
    <w:p w14:paraId="47464AF6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6EB69515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§8) Aby zachować pełną jawność i transparentność  -  niniejszy wniosek został wysłany do innych Państwowych Instytucji  - na mocy § 2. Rozporządzenia Prezesa Rady Ministrów z dnia 8 stycznia 2002 r. w sprawie organizacji przyjmowania i rozpatrywania skarg i wniosków. (Dz. U. z dnia 22 styczna 2002 r. Nr 5, poz. 46)  - scilicet: Skargę lub wniosek adresowane do właściwego organu i przesłane w odpisie do innego organu rozpatruje i załatwia, w ramach swojej właściwości, organ, do którego były adresowane. </w:t>
      </w:r>
    </w:p>
    <w:p w14:paraId="6D823F09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14:paraId="38B93894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Wnioskodawca:</w:t>
      </w:r>
    </w:p>
    <w:p w14:paraId="34BC466E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Osoba Prawna</w:t>
      </w:r>
    </w:p>
    <w:p w14:paraId="35E6BA6F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Szulc-Efekt sp. z o. o.</w:t>
      </w:r>
    </w:p>
    <w:p w14:paraId="6F8B114F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Prezes Zarządu: Adam Szulc</w:t>
      </w:r>
    </w:p>
    <w:p w14:paraId="4523ED7F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ul. Poligonowa 1</w:t>
      </w:r>
    </w:p>
    <w:p w14:paraId="0E5B0D43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04-051 Warszawa</w:t>
      </w:r>
    </w:p>
    <w:p w14:paraId="56187AF0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nr KRS: 0000059459</w:t>
      </w:r>
    </w:p>
    <w:p w14:paraId="04311A7D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Kapitał Zakładowy: 222.000,00 pln </w:t>
      </w:r>
    </w:p>
    <w:p w14:paraId="6AD1E3F5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www.gmina.pl    www.samorzad.pl</w:t>
      </w:r>
    </w:p>
    <w:p w14:paraId="112310D6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949ABB3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Dodatkowe informacje:</w:t>
      </w:r>
    </w:p>
    <w:p w14:paraId="6A4CB037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Stosownie do art. 4 ust. 2 pkt. 1 Ustawy o petycjach (Dz.U.2018.870 t.j. z dnia 2018.05.10) -  osobą reprezentująca Podmiot wnoszący petycję - jest Prezes Zarządu Adam Szulc</w:t>
      </w:r>
    </w:p>
    <w:p w14:paraId="1B11250B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Stosownie do art. 4 ust. 2 pkt. 5 ww. Ustawy - petycja niniejsza została złożona za pomocą środków komunikacji elektronicznej - a wskazanym zwrotnym adresem poczty elektronicznej jest: stopaferom@samorzad.pl </w:t>
      </w:r>
    </w:p>
    <w:p w14:paraId="7BC6E285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Adresatem Petycji - jest Organ ujawniony w komparycji - jednoznacznie identyfikowalny  za pomocą uzyskanego z Biuletynu Informacji Publicznej Urzędu - adresu e-mail !</w:t>
      </w:r>
    </w:p>
    <w:p w14:paraId="17ED0C1E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FAC28EC" w14:textId="77777777" w:rsidR="00B25084" w:rsidRPr="00B25084" w:rsidRDefault="00B25084" w:rsidP="00B25084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Komentarz do Wniosku: </w:t>
      </w:r>
    </w:p>
    <w:p w14:paraId="4AAAC1F9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Przypominamy, że przy ewentualnym wyborze rozwiązań rynkowych  - Urzędnicy powinni kierować się jedynie zasadami zachowania uczciwej konkurencji i racjonalności oraz oszczędności i pełnej jawności w wydatkowaniu środków publicznych pochodzących z pieniędzy Podatników. </w:t>
      </w:r>
    </w:p>
    <w:p w14:paraId="13E037F0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Im więcej zebranych przez Urząd w danym obszarze niezależnych ofert rynkowych - tym większa szansa na wykorzystanie zasad uczciwej konkurencji w celu oszczędności środków publicznych. </w:t>
      </w:r>
    </w:p>
    <w:p w14:paraId="1BCEBACC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Jakiekolwiek ewentualne działania Urzędników wynikłe z procedowania niniejszej petycji/wniosku - powinny być wykonywane z uwzględnieniem zasad uczciwej konkurencji oraz pełnej jawności, transparentności i racjonalności przy wydatkowaniu środków publicznych. </w:t>
      </w:r>
    </w:p>
    <w:p w14:paraId="64E0D7F5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0C9C685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Adresat jest jednoznacznie identyfikowany - na podstawie - unikalnego adresu e-mail opublikowanego w Biuletynie Informacji Publicznej Jednostki i przypisanego do odnośnego Organu.</w:t>
      </w:r>
    </w:p>
    <w:p w14:paraId="77D1A119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01E328B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Rzeczony adres e-mail - zgodnie z dyspozycją art. 1 i 8 ustawy o dostępie do informacji publicznej - stanowiąc informację pewną i potwierdzoną - jednoznacznie oznacza adresata petycji/wniosku. (Oznaczenie adresata petycji/wniosku) </w:t>
      </w:r>
    </w:p>
    <w:p w14:paraId="6185DF14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Pomimo, iż w rzeczonym wniosku powołujemy się na art. 241 Ustawy z dnia 14 czerwca 1960 r. Kodeks postępowania administracyjnego (Dz.U.2016.23 t.j. z dnia 2016.01.07) -  w naszym mniemaniu - nie oznacza to, że Urząd powinien rozpatrywać niniejsze wnioski w trybie KPA  </w:t>
      </w:r>
    </w:p>
    <w:p w14:paraId="67CBE146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W opinii Wnioskodawcy Urząd powinien w zależności od dokonanej interpretacji treści pisma  - procedować nasze wnioski  -  w trybie Ustawy o petycjach (Dz.U.2014.1195 z dnia </w:t>
      </w: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lastRenderedPageBreak/>
        <w:t>2014.09.05)  lub odpowiednio Ustawy o dostępie do informacji publicznej (wynika to zazwyczaj z jego treści i powołanych podstaw prawnych). </w:t>
      </w:r>
    </w:p>
    <w:p w14:paraId="138E208F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Zatem - wg. Wnioskodawcy niniejszy wniosek może być jedynie fakultatywnie rozpatrywany - jako optymalizacyjny w związku z art. 241 KPA. </w:t>
      </w:r>
    </w:p>
    <w:p w14:paraId="4E83D787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 naszych wnioskach/petycjach  często powołujemy sie na  wzmiankowany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 </w:t>
      </w:r>
    </w:p>
    <w:p w14:paraId="32F03E1F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Każdy Podmiot mający styczność z Urzędem - ma prawo i obowiązek - usprawniać struktury administracji samorządowej. </w:t>
      </w:r>
    </w:p>
    <w:p w14:paraId="458BEA34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Zatem pomimo formy zewnętrznej - Decydenci mogą/powinni dokonać własnej interpretacji  - zgodnie z brzmieniem art. 222 KPA. </w:t>
      </w:r>
    </w:p>
    <w:p w14:paraId="23A4968C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7C304189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Nazwa Wnioskodawca - jest dla uproszczenia stosowna jako synonim nazwy “Podmiot Wnoszący Petycję” - w rozumieniu art. 4 ust. 4 Ustawy o petycjach (Dz.U.2014.1195 z dnia 2014.09.05) </w:t>
      </w:r>
    </w:p>
    <w:p w14:paraId="624F2C50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263E988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Pozwalamy sobie również przypomnieć, że  ipso iure art. 2 ust. 2 Ustawy o dostępie do informacji publicznej “ (…) Od osoby wykonującej prawo do informacji publicznej nie wolno żądać wykazania interesu prawnego lub faktycznego.</w:t>
      </w:r>
    </w:p>
    <w:p w14:paraId="1E02D289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6D539A39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Publicznej  - w celu lepszego zaspokajania potrzeb ludności. Do wniosku dołączono 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14:paraId="17CC7FE1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Celem naszych wniosków jest - sensu largo - usprawnienie, naprawa - na miarę istniejących możliwości - funkcjonowania struktur Administracji Publicznej - głownie w Gminach/Miastach  - gdzie jak wynika z naszych wniosków - stan faktyczny wymaga wszczęcia procedur sanacyjnych. </w:t>
      </w:r>
    </w:p>
    <w:p w14:paraId="1B528659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7F8D33B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W Jednostkach Pionu Administracji Rządowej - stan faktyczny jest o wiele lepszy.  </w:t>
      </w:r>
    </w:p>
    <w:p w14:paraId="4EED1562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14:paraId="785A34DA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37AA90BF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57FCB7A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32ADC3DD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Jeżeli JST nie zgada się z powołanymi przepisami prawa, prosimy aby zastosowano podstawy prawne akceptowane przez JST.</w:t>
      </w:r>
    </w:p>
    <w:p w14:paraId="4F3FC622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lastRenderedPageBreak/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5CA0DFD1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2B72A1F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Pamiętajmy również o przepisach zawartych inter alia: w</w:t>
      </w:r>
      <w:r w:rsidRPr="00B2508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 art. 225 KPA: "§ 1. Nikt nie może być narażony na jakikolwiek uszczerbek lub zarzut z powodu złożenia skargi lub wniosku albo z powodu dostarczenia materiału do publikacji o znamionach skargi lub wniosku, jeżeli działał w granicach prawem dozwolonych</w:t>
      </w: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wniosku."</w:t>
      </w:r>
    </w:p>
    <w:p w14:paraId="67D7AEE4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585D538B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F5AD8DC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Postulujemy, ABY NASZA PETYCJA NIE BYŁA W ŻADNYM RAZIE ŁĄCZONA Z PÓŹNIEJSZYM jakimkolwiek trybem zamówienia  nie musimy dodawać, że mamy nadzieję, iż wszelkie postępowania będą  prowadzone z uwzględnieniem zasad uczciwej konkurencji - i o wyborze oferenta będą decydować jedynie ustalone przez decydentów kryteria związane inter alia z parametrami ofert oraz ceną. </w:t>
      </w:r>
    </w:p>
    <w:p w14:paraId="2B3E2FD6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BBDFC43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12834FD0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Ponownie sygnalizujemy, że do wniosku dołączono plik podpisany bezpiecznym kwalifikowanym podpisem elektronicznym.  Weryfikacja podpisu i odczytanie pliku wymaga posiadania oprogramowania, które bez ponoszenia opłat, można uzyskać na stronach WWW podmiotów - zgodnie z ustawą, świadczących usługi certyfikacyjne.</w:t>
      </w:r>
    </w:p>
    <w:p w14:paraId="6F8504E7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5D19F6D8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Z poważaniem:</w:t>
      </w:r>
    </w:p>
    <w:p w14:paraId="481FB015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Adam Szulc – Prezes Zarządu</w:t>
      </w:r>
    </w:p>
    <w:p w14:paraId="02B2F9E3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Szulc-Efekt sp zoo </w:t>
      </w:r>
    </w:p>
    <w:p w14:paraId="27292E4B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KRS: 0000059459</w:t>
      </w:r>
    </w:p>
    <w:p w14:paraId="71E1A8E5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ul. Poligonowa 1</w:t>
      </w:r>
    </w:p>
    <w:p w14:paraId="79194C21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tel. (22) 673-62-12</w:t>
      </w:r>
    </w:p>
    <w:p w14:paraId="5A8A8067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608-318-418</w:t>
      </w:r>
    </w:p>
    <w:p w14:paraId="0E6CD759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603-158-914</w:t>
      </w:r>
    </w:p>
    <w:p w14:paraId="008E2257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Kapitał Zakładowy: 222 000,00 pln</w:t>
      </w:r>
    </w:p>
    <w:p w14:paraId="67C80F23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www.gmina.pl    www.samorzad.pl </w:t>
      </w:r>
    </w:p>
    <w:p w14:paraId="00F9A004" w14:textId="77777777" w:rsidR="00B25084" w:rsidRPr="00B25084" w:rsidRDefault="00B25084" w:rsidP="00B2508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2508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"www.gmina.pl - jawność i transparentność - narzędzie do walki z korupcją i nadużyciami “</w:t>
      </w:r>
    </w:p>
    <w:p w14:paraId="187A5D8E" w14:textId="77777777" w:rsidR="00043425" w:rsidRPr="00B25084" w:rsidRDefault="00EA2833" w:rsidP="00B25084">
      <w:pPr>
        <w:rPr>
          <w:rFonts w:ascii="Arial" w:hAnsi="Arial" w:cs="Arial"/>
          <w:sz w:val="22"/>
          <w:szCs w:val="22"/>
        </w:rPr>
      </w:pPr>
    </w:p>
    <w:sectPr w:rsidR="00043425" w:rsidRPr="00B25084" w:rsidSect="00696D8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84"/>
    <w:rsid w:val="004805F7"/>
    <w:rsid w:val="00696D82"/>
    <w:rsid w:val="00B25084"/>
    <w:rsid w:val="00EA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EB73C"/>
  <w15:chartTrackingRefBased/>
  <w15:docId w15:val="{FC9418B0-8FEB-334F-A9F4-4737EFA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B25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3320</Words>
  <Characters>19923</Characters>
  <Application>Microsoft Office Word</Application>
  <DocSecurity>0</DocSecurity>
  <Lines>166</Lines>
  <Paragraphs>46</Paragraphs>
  <ScaleCrop>false</ScaleCrop>
  <Company/>
  <LinksUpToDate>false</LinksUpToDate>
  <CharactersWithSpaces>23197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PC1</cp:lastModifiedBy>
  <cp:revision>2</cp:revision>
  <dcterms:created xsi:type="dcterms:W3CDTF">2021-12-03T09:25:00Z</dcterms:created>
  <dcterms:modified xsi:type="dcterms:W3CDTF">2021-12-03T09:25:00Z</dcterms:modified>
</cp:coreProperties>
</file>