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04" w:rsidRDefault="00741F04" w:rsidP="00741F04">
      <w:pPr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WÓJT GMINY</w:t>
      </w:r>
    </w:p>
    <w:p w:rsidR="00741F04" w:rsidRDefault="00741F04" w:rsidP="00741F04">
      <w:pPr>
        <w:rPr>
          <w:b/>
          <w:sz w:val="36"/>
          <w:szCs w:val="36"/>
        </w:rPr>
      </w:pPr>
      <w:r>
        <w:rPr>
          <w:b/>
          <w:sz w:val="36"/>
          <w:szCs w:val="36"/>
        </w:rPr>
        <w:t>PRZYTYK</w:t>
      </w: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rPr>
          <w:sz w:val="36"/>
          <w:szCs w:val="36"/>
        </w:rPr>
      </w:pPr>
    </w:p>
    <w:p w:rsidR="00741F04" w:rsidRDefault="00741F04" w:rsidP="00741F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E26588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JAŚNIENIE DO WIELOLETNIEJ PROGNOZY FINANSOWEJ NA LATA 20</w:t>
      </w:r>
      <w:r w:rsidR="008320F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- 20</w:t>
      </w:r>
      <w:r w:rsidR="00D8177F">
        <w:rPr>
          <w:b/>
          <w:sz w:val="32"/>
          <w:szCs w:val="32"/>
        </w:rPr>
        <w:t>3</w:t>
      </w:r>
      <w:r w:rsidR="00904AA4">
        <w:rPr>
          <w:b/>
          <w:sz w:val="32"/>
          <w:szCs w:val="32"/>
        </w:rPr>
        <w:t>0</w:t>
      </w:r>
    </w:p>
    <w:p w:rsidR="00741F04" w:rsidRDefault="00741F04" w:rsidP="00741F04">
      <w:pPr>
        <w:jc w:val="center"/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pPr>
        <w:rPr>
          <w:b/>
          <w:sz w:val="36"/>
          <w:szCs w:val="36"/>
        </w:rPr>
      </w:pPr>
    </w:p>
    <w:p w:rsidR="00741F04" w:rsidRDefault="00741F04" w:rsidP="00741F04">
      <w:r>
        <w:rPr>
          <w:sz w:val="32"/>
          <w:szCs w:val="32"/>
        </w:rPr>
        <w:t xml:space="preserve">PRZYTYK, </w:t>
      </w:r>
      <w:r w:rsidR="00A7199B">
        <w:rPr>
          <w:sz w:val="32"/>
          <w:szCs w:val="32"/>
        </w:rPr>
        <w:t xml:space="preserve">grudzień </w:t>
      </w:r>
      <w:r w:rsidR="005662DF">
        <w:rPr>
          <w:sz w:val="32"/>
          <w:szCs w:val="32"/>
        </w:rPr>
        <w:t>201</w:t>
      </w:r>
      <w:r w:rsidR="008320F4">
        <w:rPr>
          <w:sz w:val="32"/>
          <w:szCs w:val="32"/>
        </w:rPr>
        <w:t>9</w:t>
      </w:r>
      <w:r w:rsidR="00886BE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rok              </w:t>
      </w:r>
    </w:p>
    <w:p w:rsidR="00741F04" w:rsidRDefault="00741F04" w:rsidP="00741F04"/>
    <w:p w:rsidR="00741F04" w:rsidRDefault="00741F04" w:rsidP="00741F04"/>
    <w:p w:rsidR="00741F04" w:rsidRDefault="00741F04" w:rsidP="00741F04"/>
    <w:p w:rsidR="00741F04" w:rsidRDefault="00741F04" w:rsidP="00741F04"/>
    <w:p w:rsidR="00741F04" w:rsidRDefault="00741F04" w:rsidP="004C08B2">
      <w:pPr>
        <w:jc w:val="both"/>
      </w:pPr>
      <w:r>
        <w:lastRenderedPageBreak/>
        <w:t>Wieloletnia prognoza została sporządzona zgodnie z art. 226-232 ustawy z dnia 27 sierpnia 2009 roku o finansach publicznych. Obejmuje ona lata 20</w:t>
      </w:r>
      <w:r w:rsidR="008320F4">
        <w:t>20</w:t>
      </w:r>
      <w:r>
        <w:t>-20</w:t>
      </w:r>
      <w:r w:rsidR="00D8177F">
        <w:t>3</w:t>
      </w:r>
      <w:r w:rsidR="00904AA4">
        <w:t>0</w:t>
      </w:r>
      <w:r>
        <w:t xml:space="preserve"> co wynika z prognozy kwoty długu na okres zaciągniętych i planowanych do zaciągnięcia zobowiązań.</w:t>
      </w:r>
    </w:p>
    <w:p w:rsidR="00741F04" w:rsidRDefault="00741F04" w:rsidP="004C08B2">
      <w:pPr>
        <w:jc w:val="both"/>
      </w:pPr>
      <w:r>
        <w:t>Przyjmując założenia do opracowania WPF oparto się również na danych historycznych w zakresie poszczególnych źródeł dochodów i kategorii wydatków przyjmując za punkt odniesienia wartości faktyczne wykonane w latach 201</w:t>
      </w:r>
      <w:r w:rsidR="008320F4">
        <w:t>7</w:t>
      </w:r>
      <w:r>
        <w:t>-201</w:t>
      </w:r>
      <w:r w:rsidR="008320F4">
        <w:t>8</w:t>
      </w:r>
      <w:r>
        <w:t xml:space="preserve"> oraz plan budżetu na rok 201</w:t>
      </w:r>
      <w:r w:rsidR="008320F4">
        <w:t>9</w:t>
      </w:r>
      <w:r>
        <w:t xml:space="preserve"> wg stanu na 30 września 201</w:t>
      </w:r>
      <w:r w:rsidR="008320F4">
        <w:t>9</w:t>
      </w:r>
      <w:r>
        <w:t xml:space="preserve"> roku oraz przewidywane wykonanie za 201</w:t>
      </w:r>
      <w:r w:rsidR="008320F4">
        <w:t>9</w:t>
      </w:r>
      <w:r>
        <w:t xml:space="preserve"> rok.</w:t>
      </w:r>
    </w:p>
    <w:p w:rsidR="00D045CA" w:rsidRDefault="00D045CA" w:rsidP="004C08B2">
      <w:pPr>
        <w:jc w:val="both"/>
      </w:pPr>
    </w:p>
    <w:p w:rsidR="00741F04" w:rsidRDefault="00741F04" w:rsidP="004C08B2">
      <w:pPr>
        <w:jc w:val="both"/>
      </w:pPr>
      <w:r>
        <w:t>Dochody i wydatki, przychody i rozchody na 20</w:t>
      </w:r>
      <w:r w:rsidR="008320F4">
        <w:t>20</w:t>
      </w:r>
      <w:r>
        <w:t xml:space="preserve"> rok przyjęto w wartościach zgodnych z projektem uchwały budżetowej na ten rok. </w:t>
      </w:r>
    </w:p>
    <w:p w:rsidR="00741F04" w:rsidRDefault="00741F04" w:rsidP="004C08B2">
      <w:pPr>
        <w:jc w:val="both"/>
      </w:pPr>
      <w:r>
        <w:t>Ponadto prognozę finansową opracowano na podstawie regulacji dotyczących projektowania budżetu zawartych w ustawie o finansach publicznych , ustawie o dochodach jednostek samor</w:t>
      </w:r>
      <w:r w:rsidR="00557074">
        <w:t>z</w:t>
      </w:r>
      <w:r>
        <w:t>ądu terytorialnego, ustawie o p</w:t>
      </w:r>
      <w:r w:rsidR="00557074">
        <w:t>o</w:t>
      </w:r>
      <w:r>
        <w:t>da</w:t>
      </w:r>
      <w:r w:rsidR="006D49E0">
        <w:t>tkach i opłatach lokalnych, uchwał Rady Gminy, podjętych na podstawie tych ustaw oraz analizy kształtowania się sytuacji finansowej Gminy w ostatnich latach oraz przewidywanych tendencji rozwoju.</w:t>
      </w:r>
    </w:p>
    <w:p w:rsidR="00741F04" w:rsidRDefault="00741F04" w:rsidP="004C08B2">
      <w:pPr>
        <w:jc w:val="center"/>
      </w:pPr>
    </w:p>
    <w:p w:rsidR="00077CFF" w:rsidRPr="00D045CA" w:rsidRDefault="00D045CA" w:rsidP="004C08B2">
      <w:pPr>
        <w:jc w:val="center"/>
        <w:rPr>
          <w:b/>
          <w:sz w:val="28"/>
          <w:szCs w:val="28"/>
        </w:rPr>
      </w:pPr>
      <w:r w:rsidRPr="00D045CA">
        <w:rPr>
          <w:b/>
          <w:sz w:val="28"/>
          <w:szCs w:val="28"/>
        </w:rPr>
        <w:t xml:space="preserve">I </w:t>
      </w:r>
      <w:r w:rsidR="00077CFF" w:rsidRPr="00D045CA">
        <w:rPr>
          <w:b/>
          <w:sz w:val="28"/>
          <w:szCs w:val="28"/>
        </w:rPr>
        <w:t>Prognozowane dochody</w:t>
      </w:r>
    </w:p>
    <w:p w:rsidR="00077CFF" w:rsidRDefault="00077CFF" w:rsidP="004C08B2">
      <w:pPr>
        <w:jc w:val="both"/>
      </w:pPr>
    </w:p>
    <w:p w:rsidR="00077CFF" w:rsidRDefault="00077CFF" w:rsidP="004C08B2">
      <w:pPr>
        <w:jc w:val="both"/>
      </w:pPr>
      <w:r>
        <w:t>Planowanie dochodów Gminy na okres objęty prognozą rozpoczęto od analizy dotychczasowych trendów zmian dochodów w ostatnich trzech latach. Następnie skoncentrowano się na źródłach, które generują największe wpływy.</w:t>
      </w:r>
    </w:p>
    <w:p w:rsidR="00077CFF" w:rsidRPr="00077CFF" w:rsidRDefault="00077CFF" w:rsidP="004C08B2">
      <w:pPr>
        <w:jc w:val="both"/>
      </w:pPr>
      <w:r>
        <w:t>W budżecie na 20</w:t>
      </w:r>
      <w:r w:rsidR="00D4632A">
        <w:t>20</w:t>
      </w:r>
      <w:r>
        <w:t xml:space="preserve"> rok przyjęto : podane przez Ministra Finansów planowane kwoty poszczególnych subwencji ogólnej oraz planowane kwoty dochodów z tytułu udziału we wpływach z podatku dochodowego osób fizycznych, oszacowane wpływy z udziałów w podatku od osób prawnych, ustalone przez Wojewodę Mazowieckiego kwoty dotacji na zadania z zakresu administracji rządowej oraz dotacji na realizację zadań własnych i dochodów związanych z realizacją zadań z zakresu administracji rządowej, ustalone na podstawie zawartych umów i pism kwoty dotacji na zadania bieżące i majątkowe współfinansowane ze środków z UE, szacunkowo kwoty dochodów własnych ze </w:t>
      </w:r>
      <w:r w:rsidR="00A14CAA">
        <w:t xml:space="preserve">sprzedaży majątku, opłat wynikających z ustaw, odpłatności za zrealizowane usługi, wynajmu lokali i zarządu nieruchomości oraz wpływów z różnych dochodów. </w:t>
      </w:r>
    </w:p>
    <w:p w:rsidR="00A14CAA" w:rsidRDefault="00A14CAA" w:rsidP="004C08B2">
      <w:pPr>
        <w:jc w:val="both"/>
      </w:pPr>
    </w:p>
    <w:p w:rsidR="00A14CAA" w:rsidRPr="00F543BB" w:rsidRDefault="00A14CAA" w:rsidP="004C08B2">
      <w:pPr>
        <w:jc w:val="center"/>
        <w:rPr>
          <w:b/>
        </w:rPr>
      </w:pPr>
      <w:r w:rsidRPr="00F543BB">
        <w:rPr>
          <w:b/>
        </w:rPr>
        <w:t>Dochody bieżące</w:t>
      </w:r>
    </w:p>
    <w:p w:rsidR="00A14CAA" w:rsidRDefault="00A14CAA" w:rsidP="004C08B2">
      <w:pPr>
        <w:jc w:val="both"/>
      </w:pPr>
    </w:p>
    <w:p w:rsidR="00CD5A46" w:rsidRDefault="00A14CAA" w:rsidP="00D4632A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B54AE1">
        <w:rPr>
          <w:rFonts w:eastAsia="Lucida Sans Unicode"/>
          <w:kern w:val="1"/>
          <w:lang w:eastAsia="ar-SA"/>
        </w:rPr>
        <w:t xml:space="preserve">W okresie objętym prognozą, </w:t>
      </w:r>
      <w:r w:rsidR="00D4632A">
        <w:rPr>
          <w:rFonts w:eastAsia="Lucida Sans Unicode"/>
          <w:kern w:val="1"/>
          <w:lang w:eastAsia="ar-SA"/>
        </w:rPr>
        <w:t xml:space="preserve">planuje się </w:t>
      </w:r>
      <w:r w:rsidRPr="00B54AE1">
        <w:rPr>
          <w:rFonts w:eastAsia="Lucida Sans Unicode"/>
          <w:kern w:val="1"/>
          <w:lang w:eastAsia="ar-SA"/>
        </w:rPr>
        <w:t xml:space="preserve">że </w:t>
      </w:r>
      <w:r w:rsidR="00D4632A">
        <w:rPr>
          <w:rFonts w:eastAsia="Lucida Sans Unicode"/>
          <w:kern w:val="1"/>
          <w:lang w:eastAsia="ar-SA"/>
        </w:rPr>
        <w:t xml:space="preserve">dochody </w:t>
      </w:r>
      <w:r w:rsidRPr="00B54AE1">
        <w:rPr>
          <w:rFonts w:eastAsia="Lucida Sans Unicode"/>
          <w:kern w:val="1"/>
          <w:lang w:eastAsia="ar-SA"/>
        </w:rPr>
        <w:t xml:space="preserve">będą  rosły, średnio </w:t>
      </w:r>
      <w:r w:rsidR="00CD5A46">
        <w:rPr>
          <w:rFonts w:eastAsia="Lucida Sans Unicode"/>
          <w:kern w:val="1"/>
          <w:lang w:eastAsia="ar-SA"/>
        </w:rPr>
        <w:t xml:space="preserve">około </w:t>
      </w:r>
      <w:r w:rsidR="00D4632A">
        <w:rPr>
          <w:rFonts w:eastAsia="Lucida Sans Unicode"/>
          <w:kern w:val="1"/>
          <w:lang w:eastAsia="ar-SA"/>
        </w:rPr>
        <w:t xml:space="preserve">2 </w:t>
      </w:r>
      <w:r w:rsidR="00CD5A46">
        <w:rPr>
          <w:rFonts w:eastAsia="Lucida Sans Unicode"/>
          <w:kern w:val="1"/>
          <w:lang w:eastAsia="ar-SA"/>
        </w:rPr>
        <w:t xml:space="preserve">%. </w:t>
      </w:r>
    </w:p>
    <w:p w:rsidR="00CD5A46" w:rsidRDefault="00CD5A4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>Z danych otrzymanych z Urzędu Wojewódzkiego wynika że kwota dotacji na realizację zadań bieżących w stosunku do 201</w:t>
      </w:r>
      <w:r w:rsidR="0095083A">
        <w:rPr>
          <w:rFonts w:eastAsia="Lucida Sans Unicode"/>
          <w:kern w:val="1"/>
          <w:lang w:eastAsia="ar-SA"/>
        </w:rPr>
        <w:t>9</w:t>
      </w:r>
      <w:r>
        <w:rPr>
          <w:rFonts w:eastAsia="Lucida Sans Unicode"/>
          <w:kern w:val="1"/>
          <w:lang w:eastAsia="ar-SA"/>
        </w:rPr>
        <w:t xml:space="preserve"> roku </w:t>
      </w:r>
      <w:r w:rsidR="0095083A">
        <w:rPr>
          <w:rFonts w:eastAsia="Lucida Sans Unicode"/>
          <w:kern w:val="1"/>
          <w:lang w:eastAsia="ar-SA"/>
        </w:rPr>
        <w:t xml:space="preserve">jest z niewielkim wzrostem </w:t>
      </w:r>
      <w:r w:rsidR="009B0150">
        <w:rPr>
          <w:rFonts w:eastAsia="Lucida Sans Unicode"/>
          <w:kern w:val="1"/>
          <w:lang w:eastAsia="ar-SA"/>
        </w:rPr>
        <w:t>.</w:t>
      </w:r>
      <w:r>
        <w:rPr>
          <w:rFonts w:eastAsia="Lucida Sans Unicode"/>
          <w:kern w:val="1"/>
          <w:lang w:eastAsia="ar-SA"/>
        </w:rPr>
        <w:t xml:space="preserve"> W latach kolejnych kwotę dotacji przyjęto z</w:t>
      </w:r>
      <w:r w:rsidR="000F0ACC">
        <w:rPr>
          <w:rFonts w:eastAsia="Lucida Sans Unicode"/>
          <w:kern w:val="1"/>
          <w:lang w:eastAsia="ar-SA"/>
        </w:rPr>
        <w:t>e w</w:t>
      </w:r>
      <w:r>
        <w:rPr>
          <w:rFonts w:eastAsia="Lucida Sans Unicode"/>
          <w:kern w:val="1"/>
          <w:lang w:eastAsia="ar-SA"/>
        </w:rPr>
        <w:t>zrostem w porównaniu z danymi na 201</w:t>
      </w:r>
      <w:r w:rsidR="0095083A">
        <w:rPr>
          <w:rFonts w:eastAsia="Lucida Sans Unicode"/>
          <w:kern w:val="1"/>
          <w:lang w:eastAsia="ar-SA"/>
        </w:rPr>
        <w:t>9</w:t>
      </w:r>
      <w:r>
        <w:rPr>
          <w:rFonts w:eastAsia="Lucida Sans Unicode"/>
          <w:kern w:val="1"/>
          <w:lang w:eastAsia="ar-SA"/>
        </w:rPr>
        <w:t xml:space="preserve"> rok. </w:t>
      </w:r>
    </w:p>
    <w:p w:rsidR="00A14CAA" w:rsidRPr="00B54AE1" w:rsidRDefault="00CD5A4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>W roku 20</w:t>
      </w:r>
      <w:r w:rsidR="0095083A">
        <w:rPr>
          <w:rFonts w:eastAsia="Lucida Sans Unicode"/>
          <w:kern w:val="1"/>
          <w:lang w:eastAsia="ar-SA"/>
        </w:rPr>
        <w:t>20</w:t>
      </w:r>
      <w:r>
        <w:rPr>
          <w:rFonts w:eastAsia="Lucida Sans Unicode"/>
          <w:kern w:val="1"/>
          <w:lang w:eastAsia="ar-SA"/>
        </w:rPr>
        <w:t xml:space="preserve"> przyjęto </w:t>
      </w:r>
      <w:r w:rsidR="00886BEB">
        <w:rPr>
          <w:rFonts w:eastAsia="Lucida Sans Unicode"/>
          <w:kern w:val="1"/>
          <w:lang w:eastAsia="ar-SA"/>
        </w:rPr>
        <w:t xml:space="preserve">że </w:t>
      </w:r>
      <w:r>
        <w:rPr>
          <w:rFonts w:eastAsia="Lucida Sans Unicode"/>
          <w:kern w:val="1"/>
          <w:lang w:eastAsia="ar-SA"/>
        </w:rPr>
        <w:t>dochod</w:t>
      </w:r>
      <w:r w:rsidR="00886BEB">
        <w:rPr>
          <w:rFonts w:eastAsia="Lucida Sans Unicode"/>
          <w:kern w:val="1"/>
          <w:lang w:eastAsia="ar-SA"/>
        </w:rPr>
        <w:t>y</w:t>
      </w:r>
      <w:r>
        <w:rPr>
          <w:rFonts w:eastAsia="Lucida Sans Unicode"/>
          <w:kern w:val="1"/>
          <w:lang w:eastAsia="ar-SA"/>
        </w:rPr>
        <w:t xml:space="preserve"> bieżąc</w:t>
      </w:r>
      <w:r w:rsidR="00886BEB">
        <w:rPr>
          <w:rFonts w:eastAsia="Lucida Sans Unicode"/>
          <w:kern w:val="1"/>
          <w:lang w:eastAsia="ar-SA"/>
        </w:rPr>
        <w:t>e</w:t>
      </w:r>
      <w:r>
        <w:rPr>
          <w:rFonts w:eastAsia="Lucida Sans Unicode"/>
          <w:kern w:val="1"/>
          <w:lang w:eastAsia="ar-SA"/>
        </w:rPr>
        <w:t xml:space="preserve"> w porównaniu do roku 201</w:t>
      </w:r>
      <w:r w:rsidR="0095083A">
        <w:rPr>
          <w:rFonts w:eastAsia="Lucida Sans Unicode"/>
          <w:kern w:val="1"/>
          <w:lang w:eastAsia="ar-SA"/>
        </w:rPr>
        <w:t>9</w:t>
      </w:r>
      <w:r w:rsidR="00886BEB">
        <w:rPr>
          <w:rFonts w:eastAsia="Lucida Sans Unicode"/>
          <w:kern w:val="1"/>
          <w:lang w:eastAsia="ar-SA"/>
        </w:rPr>
        <w:t xml:space="preserve"> są </w:t>
      </w:r>
      <w:r w:rsidR="0095083A">
        <w:rPr>
          <w:rFonts w:eastAsia="Lucida Sans Unicode"/>
          <w:kern w:val="1"/>
          <w:lang w:eastAsia="ar-SA"/>
        </w:rPr>
        <w:t>z lekkim wzrostem   a wynika to ze wzrostu</w:t>
      </w:r>
      <w:r w:rsidR="009B0150">
        <w:rPr>
          <w:rFonts w:eastAsia="Lucida Sans Unicode"/>
          <w:kern w:val="1"/>
          <w:lang w:eastAsia="ar-SA"/>
        </w:rPr>
        <w:t xml:space="preserve"> </w:t>
      </w:r>
      <w:r w:rsidR="00886BEB">
        <w:rPr>
          <w:rFonts w:eastAsia="Lucida Sans Unicode"/>
          <w:kern w:val="1"/>
          <w:lang w:eastAsia="ar-SA"/>
        </w:rPr>
        <w:t xml:space="preserve">dochodów z tytułu dotacji na realizację zadań  zleconych gminie odrębnymi ustawami. </w:t>
      </w:r>
      <w:r w:rsidR="00A14CAA" w:rsidRPr="00B54AE1">
        <w:rPr>
          <w:rFonts w:eastAsia="Lucida Sans Unicode"/>
          <w:kern w:val="1"/>
          <w:lang w:eastAsia="ar-SA"/>
        </w:rPr>
        <w:t>Analiza udziału poszczególnych źródeł dochodów bieżących w dochodach bieżących ogółem w ciągu ostatnich trzech lat potwierdza istnienie prawidłowości polegającej na tym, że największy wpływ na poziom tych dochodów mają: część oświatowa subwencji ogólnej, dotacje celowe, podatki i opłaty lokalne, ze szczególnym naciskiem na podatek od nieruchomości</w:t>
      </w:r>
      <w:r w:rsidR="00A14CAA" w:rsidRPr="00B54AE1">
        <w:rPr>
          <w:rFonts w:eastAsia="Lucida Sans Unicode"/>
          <w:i/>
          <w:kern w:val="1"/>
          <w:lang w:eastAsia="ar-SA"/>
        </w:rPr>
        <w:t>,</w:t>
      </w:r>
      <w:r w:rsidR="00A14CAA" w:rsidRPr="00B54AE1">
        <w:rPr>
          <w:rFonts w:eastAsia="Lucida Sans Unicode"/>
          <w:kern w:val="1"/>
          <w:lang w:eastAsia="ar-SA"/>
        </w:rPr>
        <w:t xml:space="preserve"> udziały we wpływach z podatku dochodowego od osób fizycznych i prawnych. </w:t>
      </w:r>
    </w:p>
    <w:p w:rsidR="00432930" w:rsidRPr="00B54AE1" w:rsidRDefault="00432930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i/>
          <w:kern w:val="1"/>
          <w:lang w:eastAsia="ar-SA"/>
        </w:rPr>
      </w:pPr>
    </w:p>
    <w:p w:rsidR="006D0FD8" w:rsidRDefault="006D0FD8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95083A" w:rsidRDefault="0095083A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95083A" w:rsidRDefault="0095083A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A14CAA" w:rsidRDefault="00A14CAA" w:rsidP="004C08B2">
      <w:pPr>
        <w:widowControl w:val="0"/>
        <w:suppressAutoHyphens/>
        <w:autoSpaceDE w:val="0"/>
        <w:autoSpaceDN w:val="0"/>
        <w:adjustRightInd w:val="0"/>
        <w:ind w:right="-25"/>
        <w:jc w:val="center"/>
        <w:textAlignment w:val="baseline"/>
        <w:rPr>
          <w:rFonts w:eastAsia="Lucida Sans Unicode"/>
          <w:b/>
          <w:kern w:val="1"/>
          <w:lang w:eastAsia="ar-SA"/>
        </w:rPr>
      </w:pPr>
      <w:r w:rsidRPr="00B54AE1">
        <w:rPr>
          <w:rFonts w:eastAsia="Lucida Sans Unicode"/>
          <w:b/>
          <w:kern w:val="1"/>
          <w:lang w:eastAsia="ar-SA"/>
        </w:rPr>
        <w:lastRenderedPageBreak/>
        <w:t>Subwencja ogólna</w:t>
      </w:r>
    </w:p>
    <w:p w:rsidR="00D045CA" w:rsidRPr="00B54AE1" w:rsidRDefault="00D045CA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A14CAA" w:rsidRPr="00B54AE1" w:rsidRDefault="00A14CAA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B54AE1">
        <w:rPr>
          <w:rFonts w:eastAsia="Lucida Sans Unicode"/>
          <w:kern w:val="1"/>
          <w:lang w:eastAsia="ar-SA"/>
        </w:rPr>
        <w:t>Planowaną na 20</w:t>
      </w:r>
      <w:r w:rsidR="0095083A">
        <w:rPr>
          <w:rFonts w:eastAsia="Lucida Sans Unicode"/>
          <w:kern w:val="1"/>
          <w:lang w:eastAsia="ar-SA"/>
        </w:rPr>
        <w:t>20</w:t>
      </w:r>
      <w:r w:rsidRPr="00B54AE1">
        <w:rPr>
          <w:rFonts w:eastAsia="Lucida Sans Unicode"/>
          <w:kern w:val="1"/>
          <w:lang w:eastAsia="ar-SA"/>
        </w:rPr>
        <w:t xml:space="preserve"> r</w:t>
      </w:r>
      <w:r w:rsidRPr="00B54AE1">
        <w:rPr>
          <w:rFonts w:eastAsia="Lucida Sans Unicode"/>
          <w:b/>
          <w:kern w:val="1"/>
          <w:lang w:eastAsia="ar-SA"/>
        </w:rPr>
        <w:t xml:space="preserve">  subwencję ogólną </w:t>
      </w:r>
      <w:r w:rsidRPr="00B54AE1">
        <w:rPr>
          <w:rFonts w:eastAsia="Lucida Sans Unicode"/>
          <w:kern w:val="1"/>
          <w:lang w:eastAsia="ar-SA"/>
        </w:rPr>
        <w:t xml:space="preserve"> przyjęto w wysokości podanej  przez Ministra Finansów, pismem  nr:  </w:t>
      </w:r>
      <w:r w:rsidR="00432930" w:rsidRPr="00B54AE1">
        <w:rPr>
          <w:rFonts w:eastAsia="Lucida Sans Unicode"/>
          <w:kern w:val="1"/>
          <w:lang w:eastAsia="ar-SA"/>
        </w:rPr>
        <w:t xml:space="preserve"> ST3</w:t>
      </w:r>
      <w:r w:rsidR="001729E4">
        <w:rPr>
          <w:rFonts w:eastAsia="Lucida Sans Unicode"/>
          <w:kern w:val="1"/>
          <w:lang w:eastAsia="ar-SA"/>
        </w:rPr>
        <w:t>.</w:t>
      </w:r>
      <w:r w:rsidR="00432930" w:rsidRPr="00B54AE1">
        <w:rPr>
          <w:rFonts w:eastAsia="Lucida Sans Unicode"/>
          <w:kern w:val="1"/>
          <w:lang w:eastAsia="ar-SA"/>
        </w:rPr>
        <w:t>4</w:t>
      </w:r>
      <w:r w:rsidR="001729E4">
        <w:rPr>
          <w:rFonts w:eastAsia="Lucida Sans Unicode"/>
          <w:kern w:val="1"/>
          <w:lang w:eastAsia="ar-SA"/>
        </w:rPr>
        <w:t>750.</w:t>
      </w:r>
      <w:r w:rsidR="00E43276">
        <w:rPr>
          <w:rFonts w:eastAsia="Lucida Sans Unicode"/>
          <w:kern w:val="1"/>
          <w:lang w:eastAsia="ar-SA"/>
        </w:rPr>
        <w:t>3</w:t>
      </w:r>
      <w:r w:rsidR="00661647">
        <w:rPr>
          <w:rFonts w:eastAsia="Lucida Sans Unicode"/>
          <w:kern w:val="1"/>
          <w:lang w:eastAsia="ar-SA"/>
        </w:rPr>
        <w:t>1</w:t>
      </w:r>
      <w:r w:rsidR="001729E4">
        <w:rPr>
          <w:rFonts w:eastAsia="Lucida Sans Unicode"/>
          <w:kern w:val="1"/>
          <w:lang w:eastAsia="ar-SA"/>
        </w:rPr>
        <w:t>.</w:t>
      </w:r>
      <w:r w:rsidR="00432930" w:rsidRPr="00B54AE1">
        <w:rPr>
          <w:rFonts w:eastAsia="Lucida Sans Unicode"/>
          <w:kern w:val="1"/>
          <w:lang w:eastAsia="ar-SA"/>
        </w:rPr>
        <w:t>201</w:t>
      </w:r>
      <w:r w:rsidR="00E43276">
        <w:rPr>
          <w:rFonts w:eastAsia="Lucida Sans Unicode"/>
          <w:kern w:val="1"/>
          <w:lang w:eastAsia="ar-SA"/>
        </w:rPr>
        <w:t>9</w:t>
      </w:r>
      <w:r w:rsidR="001729E4">
        <w:rPr>
          <w:rFonts w:eastAsia="Lucida Sans Unicode"/>
          <w:kern w:val="1"/>
          <w:lang w:eastAsia="ar-SA"/>
        </w:rPr>
        <w:t xml:space="preserve"> </w:t>
      </w:r>
      <w:r w:rsidRPr="00B54AE1">
        <w:rPr>
          <w:rFonts w:eastAsia="Lucida Sans Unicode"/>
          <w:kern w:val="1"/>
          <w:lang w:eastAsia="ar-SA"/>
        </w:rPr>
        <w:t xml:space="preserve">z dnia </w:t>
      </w:r>
      <w:r w:rsidR="00432930" w:rsidRPr="00B54AE1">
        <w:rPr>
          <w:rFonts w:eastAsia="Lucida Sans Unicode"/>
          <w:kern w:val="1"/>
          <w:lang w:eastAsia="ar-SA"/>
        </w:rPr>
        <w:t>1</w:t>
      </w:r>
      <w:r w:rsidR="00E43276">
        <w:rPr>
          <w:rFonts w:eastAsia="Lucida Sans Unicode"/>
          <w:kern w:val="1"/>
          <w:lang w:eastAsia="ar-SA"/>
        </w:rPr>
        <w:t>5</w:t>
      </w:r>
      <w:r w:rsidR="00432930" w:rsidRPr="00B54AE1">
        <w:rPr>
          <w:rFonts w:eastAsia="Lucida Sans Unicode"/>
          <w:kern w:val="1"/>
          <w:lang w:eastAsia="ar-SA"/>
        </w:rPr>
        <w:t xml:space="preserve"> października 201</w:t>
      </w:r>
      <w:r w:rsidR="00E43276">
        <w:rPr>
          <w:rFonts w:eastAsia="Lucida Sans Unicode"/>
          <w:kern w:val="1"/>
          <w:lang w:eastAsia="ar-SA"/>
        </w:rPr>
        <w:t>9</w:t>
      </w:r>
      <w:r w:rsidR="00432930" w:rsidRPr="00B54AE1">
        <w:rPr>
          <w:rFonts w:eastAsia="Lucida Sans Unicode"/>
          <w:kern w:val="1"/>
          <w:lang w:eastAsia="ar-SA"/>
        </w:rPr>
        <w:t xml:space="preserve"> roku.</w:t>
      </w:r>
      <w:r w:rsidRPr="00B54AE1">
        <w:rPr>
          <w:rFonts w:eastAsia="Lucida Sans Unicode"/>
          <w:b/>
          <w:kern w:val="1"/>
          <w:lang w:eastAsia="ar-SA"/>
        </w:rPr>
        <w:t xml:space="preserve">  </w:t>
      </w:r>
      <w:r w:rsidRPr="00B54AE1">
        <w:rPr>
          <w:rFonts w:eastAsia="Lucida Sans Unicode"/>
          <w:kern w:val="1"/>
          <w:lang w:eastAsia="ar-SA"/>
        </w:rPr>
        <w:t>W kolejnych latach 20</w:t>
      </w:r>
      <w:r w:rsidR="00E90131">
        <w:rPr>
          <w:rFonts w:eastAsia="Lucida Sans Unicode"/>
          <w:kern w:val="1"/>
          <w:lang w:eastAsia="ar-SA"/>
        </w:rPr>
        <w:t>2</w:t>
      </w:r>
      <w:r w:rsidR="00E43276">
        <w:rPr>
          <w:rFonts w:eastAsia="Lucida Sans Unicode"/>
          <w:kern w:val="1"/>
          <w:lang w:eastAsia="ar-SA"/>
        </w:rPr>
        <w:t>1</w:t>
      </w:r>
      <w:r w:rsidRPr="00B54AE1">
        <w:rPr>
          <w:rFonts w:eastAsia="Lucida Sans Unicode"/>
          <w:kern w:val="1"/>
          <w:lang w:eastAsia="ar-SA"/>
        </w:rPr>
        <w:t xml:space="preserve"> </w:t>
      </w:r>
      <w:r w:rsidR="00432930" w:rsidRPr="00B54AE1">
        <w:rPr>
          <w:rFonts w:eastAsia="Lucida Sans Unicode"/>
          <w:kern w:val="1"/>
          <w:lang w:eastAsia="ar-SA"/>
        </w:rPr>
        <w:t>–</w:t>
      </w:r>
      <w:r w:rsidRPr="00B54AE1">
        <w:rPr>
          <w:rFonts w:eastAsia="Lucida Sans Unicode"/>
          <w:kern w:val="1"/>
          <w:lang w:eastAsia="ar-SA"/>
        </w:rPr>
        <w:t xml:space="preserve"> </w:t>
      </w:r>
      <w:r w:rsidR="00432930" w:rsidRPr="00B54AE1">
        <w:rPr>
          <w:rFonts w:eastAsia="Lucida Sans Unicode"/>
          <w:kern w:val="1"/>
          <w:lang w:eastAsia="ar-SA"/>
        </w:rPr>
        <w:t>20</w:t>
      </w:r>
      <w:r w:rsidR="00D8177F">
        <w:rPr>
          <w:rFonts w:eastAsia="Lucida Sans Unicode"/>
          <w:kern w:val="1"/>
          <w:lang w:eastAsia="ar-SA"/>
        </w:rPr>
        <w:t>3</w:t>
      </w:r>
      <w:r w:rsidR="00904AA4">
        <w:rPr>
          <w:rFonts w:eastAsia="Lucida Sans Unicode"/>
          <w:kern w:val="1"/>
          <w:lang w:eastAsia="ar-SA"/>
        </w:rPr>
        <w:t>0</w:t>
      </w:r>
      <w:r w:rsidR="00432930" w:rsidRPr="00B54AE1">
        <w:rPr>
          <w:rFonts w:eastAsia="Lucida Sans Unicode"/>
          <w:kern w:val="1"/>
          <w:lang w:eastAsia="ar-SA"/>
        </w:rPr>
        <w:t xml:space="preserve"> </w:t>
      </w:r>
      <w:r w:rsidRPr="00B54AE1">
        <w:rPr>
          <w:rFonts w:eastAsia="Lucida Sans Unicode"/>
          <w:kern w:val="1"/>
          <w:lang w:eastAsia="ar-SA"/>
        </w:rPr>
        <w:t>dochody w tej grupie oszacowano w oparciu o planowane wpływy w 20</w:t>
      </w:r>
      <w:r w:rsidR="00E43276">
        <w:rPr>
          <w:rFonts w:eastAsia="Lucida Sans Unicode"/>
          <w:kern w:val="1"/>
          <w:lang w:eastAsia="ar-SA"/>
        </w:rPr>
        <w:t>20</w:t>
      </w:r>
      <w:r w:rsidRPr="00B54AE1">
        <w:rPr>
          <w:rFonts w:eastAsia="Lucida Sans Unicode"/>
          <w:kern w:val="1"/>
          <w:lang w:eastAsia="ar-SA"/>
        </w:rPr>
        <w:t xml:space="preserve"> roku i obowiązujące przepisy, które gwarantują utrzymanie co najmniej </w:t>
      </w:r>
      <w:r w:rsidR="00432930" w:rsidRPr="00B54AE1">
        <w:rPr>
          <w:rFonts w:eastAsia="Lucida Sans Unicode"/>
          <w:kern w:val="1"/>
          <w:lang w:eastAsia="ar-SA"/>
        </w:rPr>
        <w:t>minim</w:t>
      </w:r>
      <w:r w:rsidRPr="00B54AE1">
        <w:rPr>
          <w:rFonts w:eastAsia="Lucida Sans Unicode"/>
          <w:kern w:val="1"/>
          <w:lang w:eastAsia="ar-SA"/>
        </w:rPr>
        <w:t>alnego poziomu środków z tytułu subwencji oświatowej .</w:t>
      </w:r>
      <w:r w:rsidR="00432930" w:rsidRPr="00B54AE1">
        <w:rPr>
          <w:rFonts w:eastAsia="Lucida Sans Unicode"/>
          <w:kern w:val="1"/>
          <w:lang w:eastAsia="ar-SA"/>
        </w:rPr>
        <w:t xml:space="preserve"> </w:t>
      </w:r>
      <w:r w:rsidRPr="00B54AE1">
        <w:rPr>
          <w:rFonts w:eastAsia="Lucida Sans Unicode"/>
          <w:kern w:val="1"/>
          <w:lang w:eastAsia="ar-SA"/>
        </w:rPr>
        <w:t xml:space="preserve"> Dynamikę planowanych wpływów w ramach tej grupy dochodów zaprezentowano w tabeli poniżej:</w:t>
      </w:r>
    </w:p>
    <w:p w:rsidR="00A14CAA" w:rsidRPr="00A14CAA" w:rsidRDefault="00A14CAA" w:rsidP="004C08B2">
      <w:pPr>
        <w:widowControl w:val="0"/>
        <w:suppressAutoHyphens/>
        <w:ind w:right="-25"/>
        <w:jc w:val="both"/>
        <w:textAlignment w:val="baseline"/>
        <w:rPr>
          <w:rFonts w:ascii="Calibri" w:eastAsia="Lucida Sans Unicode" w:hAnsi="Calibri"/>
          <w:b/>
          <w:kern w:val="1"/>
          <w:sz w:val="20"/>
          <w:szCs w:val="20"/>
          <w:lang w:eastAsia="ar-SA"/>
        </w:rPr>
      </w:pPr>
    </w:p>
    <w:tbl>
      <w:tblPr>
        <w:tblW w:w="8360" w:type="dxa"/>
        <w:jc w:val="center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814"/>
        <w:gridCol w:w="842"/>
        <w:gridCol w:w="842"/>
        <w:gridCol w:w="825"/>
        <w:gridCol w:w="33"/>
        <w:gridCol w:w="842"/>
        <w:gridCol w:w="795"/>
        <w:gridCol w:w="19"/>
        <w:gridCol w:w="814"/>
        <w:gridCol w:w="839"/>
      </w:tblGrid>
      <w:tr w:rsidR="0050351B" w:rsidRPr="00A14CAA" w:rsidTr="0050351B">
        <w:trPr>
          <w:trHeight w:val="312"/>
          <w:jc w:val="center"/>
        </w:trPr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51B" w:rsidRPr="00A14CAA" w:rsidRDefault="0050351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  <w:t>Wyszczególnienie</w:t>
            </w:r>
          </w:p>
        </w:tc>
        <w:tc>
          <w:tcPr>
            <w:tcW w:w="6192" w:type="dxa"/>
            <w:gridSpan w:val="9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0351B" w:rsidRPr="00A14CAA" w:rsidRDefault="0050351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  <w:t xml:space="preserve">Dynamika w latach </w:t>
            </w:r>
          </w:p>
          <w:p w:rsidR="0050351B" w:rsidRPr="00A14CAA" w:rsidRDefault="0050351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50351B" w:rsidRPr="00A14CAA" w:rsidRDefault="0050351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E43276" w:rsidRPr="00A14CAA" w:rsidTr="0050351B">
        <w:trPr>
          <w:trHeight w:val="311"/>
          <w:jc w:val="center"/>
        </w:trPr>
        <w:tc>
          <w:tcPr>
            <w:tcW w:w="13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51B" w:rsidRPr="00A14CAA" w:rsidRDefault="0050351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A14CAA" w:rsidRDefault="0050351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51B" w:rsidRPr="00A14CAA" w:rsidRDefault="0050351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66164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51B" w:rsidRPr="00A14CAA" w:rsidRDefault="0050351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9B0150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51B" w:rsidRPr="00A14CAA" w:rsidRDefault="0050351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51B" w:rsidRPr="00A14CAA" w:rsidRDefault="0050351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A14CAA" w:rsidRDefault="0050351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A14CAA" w:rsidRDefault="0050351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1B" w:rsidRDefault="0050351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7</w:t>
            </w:r>
          </w:p>
        </w:tc>
      </w:tr>
      <w:tr w:rsidR="00E43276" w:rsidRPr="00A14CAA" w:rsidTr="0050351B">
        <w:trPr>
          <w:trHeight w:val="327"/>
          <w:jc w:val="center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A14CAA" w:rsidRDefault="0050351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  <w:t>Subwencja</w:t>
            </w:r>
          </w:p>
          <w:p w:rsidR="0050351B" w:rsidRPr="00A14CAA" w:rsidRDefault="0050351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  <w:t>ogólna</w:t>
            </w:r>
          </w:p>
          <w:p w:rsidR="0050351B" w:rsidRPr="00A14CAA" w:rsidRDefault="0050351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/>
                <w:bCs/>
                <w:color w:val="000000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50" w:rsidRPr="0050351B" w:rsidRDefault="00E43276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  <w:t>14.600.491,00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50351B" w:rsidRDefault="00E43276" w:rsidP="00916F0F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  <w:t>14.800.000,00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50351B" w:rsidRDefault="00E43276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  <w:t>14.950.000,00</w:t>
            </w: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50351B" w:rsidRDefault="00E43276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  <w:t>15.000.000,00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50351B" w:rsidRDefault="00E43276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  <w:t>15.100.000,00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50351B" w:rsidRDefault="00E43276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  <w:t>15.259.000,00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51B" w:rsidRPr="0050351B" w:rsidRDefault="00E43276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2"/>
                <w:szCs w:val="12"/>
                <w:lang w:eastAsia="ar-SA"/>
              </w:rPr>
              <w:t>15.641.000,00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1B" w:rsidRPr="00916F0F" w:rsidRDefault="00E43276" w:rsidP="00916F0F">
            <w:pPr>
              <w:rPr>
                <w:rFonts w:ascii="Calibri" w:eastAsia="Lucida Sans Unicode" w:hAnsi="Calibri"/>
                <w:sz w:val="12"/>
                <w:szCs w:val="12"/>
                <w:lang w:eastAsia="ar-SA"/>
              </w:rPr>
            </w:pPr>
            <w:r>
              <w:rPr>
                <w:rFonts w:ascii="Calibri" w:eastAsia="Lucida Sans Unicode" w:hAnsi="Calibri"/>
                <w:sz w:val="12"/>
                <w:szCs w:val="12"/>
                <w:lang w:eastAsia="ar-SA"/>
              </w:rPr>
              <w:t>16.033.000,00</w:t>
            </w:r>
          </w:p>
        </w:tc>
      </w:tr>
    </w:tbl>
    <w:p w:rsidR="00A14CAA" w:rsidRPr="00A14CAA" w:rsidRDefault="00A14CAA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tbl>
      <w:tblPr>
        <w:tblW w:w="2987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39"/>
        <w:gridCol w:w="983"/>
        <w:gridCol w:w="956"/>
        <w:gridCol w:w="46"/>
      </w:tblGrid>
      <w:tr w:rsidR="00E43276" w:rsidTr="00E43276">
        <w:trPr>
          <w:gridAfter w:val="1"/>
          <w:wAfter w:w="46" w:type="dxa"/>
          <w:trHeight w:val="311"/>
          <w:jc w:val="center"/>
        </w:trPr>
        <w:tc>
          <w:tcPr>
            <w:tcW w:w="963" w:type="dxa"/>
            <w:shd w:val="clear" w:color="auto" w:fill="auto"/>
            <w:noWrap/>
            <w:vAlign w:val="center"/>
          </w:tcPr>
          <w:p w:rsidR="00E43276" w:rsidRPr="00A14CAA" w:rsidRDefault="00E43276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</w:tcPr>
          <w:p w:rsidR="00E43276" w:rsidRPr="00A14CAA" w:rsidRDefault="00E43276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43276" w:rsidRPr="00A14CAA" w:rsidRDefault="00E43276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14CAA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30</w:t>
            </w:r>
          </w:p>
        </w:tc>
      </w:tr>
      <w:tr w:rsidR="00E43276" w:rsidRPr="0050351B" w:rsidTr="00E43276">
        <w:trPr>
          <w:trHeight w:val="327"/>
          <w:jc w:val="center"/>
        </w:trPr>
        <w:tc>
          <w:tcPr>
            <w:tcW w:w="1002" w:type="dxa"/>
            <w:gridSpan w:val="2"/>
            <w:shd w:val="clear" w:color="auto" w:fill="auto"/>
            <w:vAlign w:val="center"/>
          </w:tcPr>
          <w:p w:rsidR="00E43276" w:rsidRPr="0050351B" w:rsidRDefault="00E43276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16.434.000,00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43276" w:rsidRPr="0050351B" w:rsidRDefault="00E43276" w:rsidP="00661647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16.845.000,00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E43276" w:rsidRPr="0050351B" w:rsidRDefault="00E43276" w:rsidP="00661647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17.267.000,00</w:t>
            </w:r>
          </w:p>
        </w:tc>
      </w:tr>
    </w:tbl>
    <w:p w:rsidR="0050351B" w:rsidRPr="0050351B" w:rsidRDefault="0050351B" w:rsidP="004C08B2">
      <w:pPr>
        <w:jc w:val="both"/>
        <w:rPr>
          <w:sz w:val="14"/>
          <w:szCs w:val="14"/>
        </w:rPr>
      </w:pPr>
    </w:p>
    <w:p w:rsidR="0050351B" w:rsidRDefault="0050351B" w:rsidP="004C08B2">
      <w:pPr>
        <w:jc w:val="both"/>
      </w:pPr>
    </w:p>
    <w:p w:rsidR="00D239A4" w:rsidRDefault="00432930" w:rsidP="004C08B2">
      <w:pPr>
        <w:jc w:val="both"/>
      </w:pPr>
      <w:r>
        <w:t>Subwencja oświatowa 20</w:t>
      </w:r>
      <w:r w:rsidR="00E43276">
        <w:t>20</w:t>
      </w:r>
      <w:r>
        <w:t xml:space="preserve"> jest </w:t>
      </w:r>
      <w:r w:rsidR="00916F0F">
        <w:t>większa</w:t>
      </w:r>
      <w:r w:rsidR="0050351B">
        <w:t xml:space="preserve"> </w:t>
      </w:r>
      <w:r>
        <w:t xml:space="preserve"> w stosunku do 201</w:t>
      </w:r>
      <w:r w:rsidR="00E43276">
        <w:t>9</w:t>
      </w:r>
      <w:r>
        <w:t xml:space="preserve"> </w:t>
      </w:r>
      <w:r w:rsidR="001729E4">
        <w:t xml:space="preserve">o kwotę </w:t>
      </w:r>
      <w:r w:rsidR="00E43276">
        <w:t>421.902</w:t>
      </w:r>
      <w:r w:rsidR="001729E4">
        <w:t xml:space="preserve">,00 </w:t>
      </w:r>
      <w:r>
        <w:t xml:space="preserve">spowodowane jest </w:t>
      </w:r>
      <w:r w:rsidR="00D239A4">
        <w:t xml:space="preserve">to </w:t>
      </w:r>
      <w:r w:rsidR="0050351B">
        <w:t>z</w:t>
      </w:r>
      <w:r w:rsidR="00916F0F">
        <w:t>większeniem</w:t>
      </w:r>
      <w:r w:rsidR="001729E4">
        <w:t xml:space="preserve"> liczby </w:t>
      </w:r>
      <w:r>
        <w:t>dzieci</w:t>
      </w:r>
      <w:r w:rsidR="0050351B">
        <w:t xml:space="preserve"> w klasach </w:t>
      </w:r>
      <w:r w:rsidR="00E43276">
        <w:t xml:space="preserve">, </w:t>
      </w:r>
      <w:r w:rsidR="001729E4">
        <w:t>kwotą na dzieci ze schorzeniami</w:t>
      </w:r>
      <w:r w:rsidR="00E43276">
        <w:t xml:space="preserve"> oraz podwyżką płac dla nauczycieli</w:t>
      </w:r>
      <w:r>
        <w:t xml:space="preserve">. W następnych latach </w:t>
      </w:r>
      <w:r w:rsidR="00701FF5">
        <w:t xml:space="preserve">jest </w:t>
      </w:r>
      <w:r w:rsidR="00916F0F">
        <w:t>niewielki wzrost</w:t>
      </w:r>
      <w:r w:rsidR="00E43276">
        <w:t xml:space="preserve"> subwencji </w:t>
      </w:r>
      <w:r w:rsidR="00701FF5">
        <w:t>.</w:t>
      </w:r>
    </w:p>
    <w:p w:rsidR="00D239A4" w:rsidRPr="00D239A4" w:rsidRDefault="00D239A4" w:rsidP="004C08B2">
      <w:pPr>
        <w:jc w:val="both"/>
      </w:pPr>
    </w:p>
    <w:p w:rsidR="00D239A4" w:rsidRDefault="00D239A4" w:rsidP="004C08B2">
      <w:pPr>
        <w:jc w:val="both"/>
      </w:pPr>
    </w:p>
    <w:p w:rsidR="00D239A4" w:rsidRDefault="00D239A4" w:rsidP="004C08B2">
      <w:pPr>
        <w:widowControl w:val="0"/>
        <w:suppressAutoHyphens/>
        <w:ind w:right="-25"/>
        <w:jc w:val="center"/>
        <w:textAlignment w:val="baseline"/>
        <w:rPr>
          <w:rFonts w:eastAsia="Lucida Sans Unicode"/>
          <w:b/>
          <w:kern w:val="1"/>
          <w:lang w:eastAsia="ar-SA"/>
        </w:rPr>
      </w:pPr>
      <w:r w:rsidRPr="00D239A4">
        <w:rPr>
          <w:rFonts w:eastAsia="Lucida Sans Unicode"/>
          <w:b/>
          <w:kern w:val="1"/>
          <w:lang w:eastAsia="ar-SA"/>
        </w:rPr>
        <w:t>Podatki i opłaty lokalne</w:t>
      </w:r>
    </w:p>
    <w:p w:rsidR="00D045CA" w:rsidRPr="00D239A4" w:rsidRDefault="00D045CA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D239A4" w:rsidRPr="00D239A4" w:rsidRDefault="00D239A4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D239A4">
        <w:rPr>
          <w:rFonts w:eastAsia="Lucida Sans Unicode"/>
          <w:kern w:val="1"/>
          <w:lang w:eastAsia="ar-SA"/>
        </w:rPr>
        <w:t>Bazą wyjściową do ustalenia wpływów z podatków i opłat lokalnych są wpływy z tych dochodów w latach poprzednich. W latach historycznych dynamika dochodów tej grupy była zmienna ,co wynikało ze zmiennej bazy objętej opodatkowaniem .</w:t>
      </w:r>
      <w:r w:rsidRPr="00AB5B19">
        <w:rPr>
          <w:rFonts w:eastAsia="Lucida Sans Unicode"/>
          <w:kern w:val="1"/>
          <w:lang w:eastAsia="ar-SA"/>
        </w:rPr>
        <w:t xml:space="preserve"> W poprzednich latach została przeprowadzona modernizacja gruntów przez geodezję.</w:t>
      </w:r>
      <w:r w:rsidRPr="00D239A4">
        <w:rPr>
          <w:rFonts w:eastAsia="Lucida Sans Unicode"/>
          <w:kern w:val="1"/>
          <w:lang w:eastAsia="ar-SA"/>
        </w:rPr>
        <w:t xml:space="preserve"> Dochody z podatków i opłat lokalnych zdominowane są przez  podatek od nieruchomości</w:t>
      </w:r>
      <w:r w:rsidRPr="00AB5B19">
        <w:rPr>
          <w:rFonts w:eastAsia="Lucida Sans Unicode"/>
          <w:kern w:val="1"/>
          <w:lang w:eastAsia="ar-SA"/>
        </w:rPr>
        <w:t>, podatek rolny</w:t>
      </w:r>
      <w:r w:rsidRPr="00D239A4">
        <w:rPr>
          <w:rFonts w:eastAsia="Lucida Sans Unicode"/>
          <w:kern w:val="1"/>
          <w:lang w:eastAsia="ar-SA"/>
        </w:rPr>
        <w:t xml:space="preserve">. Do ważniejszych źródeł dochodów z tytułu opłat należą wpływy z </w:t>
      </w:r>
      <w:r w:rsidRPr="00AB5B19">
        <w:rPr>
          <w:rFonts w:eastAsia="Lucida Sans Unicode"/>
          <w:kern w:val="1"/>
          <w:lang w:eastAsia="ar-SA"/>
        </w:rPr>
        <w:t xml:space="preserve">opłaty targowej, pozwoleń na sprzedaż wyrobów alkoholowych. </w:t>
      </w:r>
      <w:r w:rsidRPr="00D239A4">
        <w:rPr>
          <w:rFonts w:eastAsia="Lucida Sans Unicode"/>
          <w:kern w:val="1"/>
          <w:lang w:eastAsia="ar-SA"/>
        </w:rPr>
        <w:t>W 20</w:t>
      </w:r>
      <w:r w:rsidR="00E43276">
        <w:rPr>
          <w:rFonts w:eastAsia="Lucida Sans Unicode"/>
          <w:kern w:val="1"/>
          <w:lang w:eastAsia="ar-SA"/>
        </w:rPr>
        <w:t>20</w:t>
      </w:r>
      <w:r w:rsidRPr="00D239A4">
        <w:rPr>
          <w:rFonts w:eastAsia="Lucida Sans Unicode"/>
          <w:kern w:val="1"/>
          <w:lang w:eastAsia="ar-SA"/>
        </w:rPr>
        <w:t xml:space="preserve"> roku oraz w latach kolejnych zakłada się </w:t>
      </w:r>
      <w:r w:rsidR="001729E4">
        <w:rPr>
          <w:rFonts w:eastAsia="Lucida Sans Unicode"/>
          <w:kern w:val="1"/>
          <w:lang w:eastAsia="ar-SA"/>
        </w:rPr>
        <w:t xml:space="preserve">niewielki </w:t>
      </w:r>
      <w:r w:rsidRPr="00D239A4">
        <w:rPr>
          <w:rFonts w:eastAsia="Lucida Sans Unicode"/>
          <w:kern w:val="1"/>
          <w:lang w:eastAsia="ar-SA"/>
        </w:rPr>
        <w:t xml:space="preserve">wzrost wpływów z tego rodzaju źródeł o wskaźniki inflacji średniorocznej oraz dynamiki PKB. W latach objętych prognozą założono coroczny wzrost wpływów z podatków , będący pochodną planowanego corocznego wzrostu stawek podatkowych uchwalanych przez Radę. Przy tym założeniu łączna dynamika planowanych wpływów z tytułu wszystkich dochodów podatkowych i opłat lokalnych kształtuje się w sposób następujący: </w:t>
      </w:r>
    </w:p>
    <w:p w:rsidR="00D239A4" w:rsidRPr="00D239A4" w:rsidRDefault="00D239A4" w:rsidP="004C08B2">
      <w:pPr>
        <w:widowControl w:val="0"/>
        <w:suppressAutoHyphens/>
        <w:ind w:right="-25"/>
        <w:jc w:val="both"/>
        <w:textAlignment w:val="baseline"/>
        <w:rPr>
          <w:rFonts w:ascii="Calibri" w:eastAsia="Lucida Sans Unicode" w:hAnsi="Calibri"/>
          <w:kern w:val="1"/>
          <w:sz w:val="22"/>
          <w:szCs w:val="22"/>
          <w:lang w:eastAsia="ar-SA"/>
        </w:rPr>
      </w:pPr>
    </w:p>
    <w:tbl>
      <w:tblPr>
        <w:tblW w:w="8715" w:type="dxa"/>
        <w:jc w:val="center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83"/>
        <w:gridCol w:w="699"/>
        <w:gridCol w:w="683"/>
        <w:gridCol w:w="683"/>
        <w:gridCol w:w="683"/>
        <w:gridCol w:w="683"/>
        <w:gridCol w:w="683"/>
        <w:gridCol w:w="683"/>
        <w:gridCol w:w="683"/>
      </w:tblGrid>
      <w:tr w:rsidR="00D239A4" w:rsidRPr="00D239A4" w:rsidTr="00701FF5">
        <w:trPr>
          <w:trHeight w:val="31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A4" w:rsidRPr="00D239A4" w:rsidRDefault="00D239A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  <w:t>Wyszczególnienie</w:t>
            </w:r>
          </w:p>
        </w:tc>
        <w:tc>
          <w:tcPr>
            <w:tcW w:w="616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9A4" w:rsidRPr="00D239A4" w:rsidRDefault="00D239A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kern w:val="1"/>
                <w:sz w:val="22"/>
                <w:szCs w:val="22"/>
                <w:lang w:eastAsia="ar-SA"/>
              </w:rPr>
              <w:t xml:space="preserve">Dynamika w latach </w:t>
            </w:r>
          </w:p>
          <w:p w:rsidR="00D239A4" w:rsidRPr="00D239A4" w:rsidRDefault="00D239A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4"/>
                <w:szCs w:val="14"/>
                <w:lang w:eastAsia="ar-SA"/>
              </w:rPr>
            </w:pPr>
          </w:p>
        </w:tc>
      </w:tr>
      <w:tr w:rsidR="00CF217B" w:rsidRPr="00D239A4" w:rsidTr="00701FF5">
        <w:trPr>
          <w:trHeight w:val="311"/>
          <w:jc w:val="center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713DD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821D98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701FF5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81255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6D0FD8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7B" w:rsidRPr="00D239A4" w:rsidRDefault="00CF217B" w:rsidP="00E43276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E4327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8</w:t>
            </w:r>
          </w:p>
        </w:tc>
      </w:tr>
      <w:tr w:rsidR="00CF217B" w:rsidRPr="00D239A4" w:rsidTr="00701FF5">
        <w:trPr>
          <w:trHeight w:val="12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color w:val="000000"/>
                <w:kern w:val="1"/>
                <w:sz w:val="14"/>
                <w:szCs w:val="14"/>
                <w:lang w:eastAsia="ar-SA"/>
              </w:rPr>
            </w:pPr>
          </w:p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Podatki lokalne, w tym: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A84ED5" w:rsidP="00821D98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3.382.200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650801" w:rsidP="00617D27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3.414.000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9A6328" w:rsidP="00617D27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3.424.000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3.457.000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3.491.000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3.526.000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3.662.000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3.699.000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7B" w:rsidRPr="00D239A4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3.837.000</w:t>
            </w:r>
          </w:p>
        </w:tc>
      </w:tr>
      <w:tr w:rsidR="00CF217B" w:rsidRPr="00D239A4" w:rsidTr="00701FF5">
        <w:trPr>
          <w:trHeight w:val="120"/>
          <w:jc w:val="center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  <w:t>1. podatek od nieruchomości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13DD7" w:rsidP="00A84ED5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</w:t>
            </w:r>
            <w:r w:rsidR="00A84ED5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300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</w:t>
            </w:r>
            <w:r w:rsidR="00650801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301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</w:t>
            </w:r>
            <w:r w:rsidR="00650801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309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</w:t>
            </w:r>
            <w:r w:rsidR="00713DD7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</w:t>
            </w:r>
            <w:r w:rsidR="00650801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42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</w:t>
            </w:r>
            <w:r w:rsidR="00821D98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3</w:t>
            </w:r>
            <w:r w:rsidR="00650801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76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</w:t>
            </w:r>
            <w:r w:rsidR="00821D98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</w:t>
            </w:r>
            <w:r w:rsidR="00650801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411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</w:t>
            </w:r>
            <w:r w:rsidR="00713DD7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4</w:t>
            </w:r>
            <w:r w:rsidR="00650801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47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</w:t>
            </w:r>
            <w:r w:rsidR="00821D98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4</w:t>
            </w:r>
            <w:r w:rsidR="00650801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84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7B" w:rsidRPr="00D239A4" w:rsidRDefault="00701FF5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</w:t>
            </w:r>
            <w:r w:rsidR="00650801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522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</w:tr>
      <w:tr w:rsidR="00CF217B" w:rsidRPr="00D239A4" w:rsidTr="00701FF5">
        <w:trPr>
          <w:trHeight w:val="12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  <w:t>2. podatek rolny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13DD7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875.000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617D27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87</w:t>
            </w:r>
            <w:r w:rsidR="00617D27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</w:t>
            </w: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880.000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880.000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880.000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880.000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880.000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701FF5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880.000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7B" w:rsidRPr="00D239A4" w:rsidRDefault="00701FF5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880.000</w:t>
            </w:r>
          </w:p>
        </w:tc>
      </w:tr>
      <w:tr w:rsidR="00CF217B" w:rsidRPr="00D239A4" w:rsidTr="00701FF5">
        <w:trPr>
          <w:trHeight w:val="12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left="214" w:right="-25" w:hanging="214"/>
              <w:jc w:val="both"/>
              <w:textAlignment w:val="baseline"/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  <w:t>3. podatek od środków transportowych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A84ED5" w:rsidP="00916F0F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127</w:t>
            </w:r>
            <w:r w:rsidR="00215199"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.000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215199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135.000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215199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135.000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215199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135.000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215199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135.000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215199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135.000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215199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135.000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215199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135.000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7B" w:rsidRPr="00D239A4" w:rsidRDefault="00215199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135.000</w:t>
            </w:r>
          </w:p>
        </w:tc>
      </w:tr>
      <w:tr w:rsidR="00CF217B" w:rsidRPr="00D239A4" w:rsidTr="00701FF5">
        <w:trPr>
          <w:trHeight w:val="111"/>
          <w:jc w:val="center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/>
                <w:color w:val="000000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</w:p>
        </w:tc>
      </w:tr>
      <w:tr w:rsidR="00CF217B" w:rsidRPr="00D239A4" w:rsidTr="00701FF5">
        <w:trPr>
          <w:trHeight w:val="75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CF217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D239A4">
              <w:rPr>
                <w:rFonts w:ascii="Calibri" w:eastAsia="Lucida Sans Unicode" w:hAnsi="Calibri"/>
                <w:b/>
                <w:color w:val="000000"/>
                <w:kern w:val="1"/>
                <w:sz w:val="20"/>
                <w:szCs w:val="20"/>
                <w:lang w:eastAsia="ar-SA"/>
              </w:rPr>
              <w:t>Opłaty lokalne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A84ED5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1.080.200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650801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1.100.000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650801" w:rsidP="00617D27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1.100.000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650801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1.100.000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650801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1.100.000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650801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1.100.000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650801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1.200.000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7B" w:rsidRPr="00D239A4" w:rsidRDefault="00650801" w:rsidP="00650801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1.200.000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7B" w:rsidRPr="00D239A4" w:rsidRDefault="00650801" w:rsidP="004C08B2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14"/>
                <w:szCs w:val="14"/>
                <w:lang w:eastAsia="ar-SA"/>
              </w:rPr>
              <w:t>1.300.000</w:t>
            </w:r>
          </w:p>
        </w:tc>
      </w:tr>
    </w:tbl>
    <w:p w:rsidR="00701FF5" w:rsidRPr="00B432BE" w:rsidRDefault="00701FF5" w:rsidP="004C08B2">
      <w:pPr>
        <w:jc w:val="both"/>
        <w:rPr>
          <w:sz w:val="20"/>
          <w:szCs w:val="20"/>
        </w:rPr>
      </w:pPr>
    </w:p>
    <w:tbl>
      <w:tblPr>
        <w:tblW w:w="5810" w:type="dxa"/>
        <w:jc w:val="center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05"/>
      </w:tblGrid>
      <w:tr w:rsidR="00650801" w:rsidRPr="00B432BE" w:rsidTr="00650801">
        <w:trPr>
          <w:trHeight w:val="311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01" w:rsidRPr="00B432BE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B432BE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lastRenderedPageBreak/>
              <w:t>202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B432BE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B432BE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30</w:t>
            </w:r>
          </w:p>
        </w:tc>
      </w:tr>
      <w:tr w:rsidR="00650801" w:rsidRPr="00266776" w:rsidTr="00650801">
        <w:trPr>
          <w:trHeight w:val="120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9A6328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3.976.000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9A6328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4.016.000</w:t>
            </w:r>
          </w:p>
        </w:tc>
      </w:tr>
      <w:tr w:rsidR="00650801" w:rsidRPr="00266776" w:rsidTr="00650801">
        <w:trPr>
          <w:trHeight w:val="120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 w:rsidRPr="00266776"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1.</w:t>
            </w:r>
            <w:r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561</w:t>
            </w:r>
            <w:r w:rsidRPr="00266776"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.000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 w:rsidRPr="00266776"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1.</w:t>
            </w:r>
            <w:r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601</w:t>
            </w:r>
            <w:r w:rsidRPr="00266776"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.000</w:t>
            </w:r>
          </w:p>
        </w:tc>
      </w:tr>
      <w:tr w:rsidR="00650801" w:rsidRPr="00266776" w:rsidTr="00650801">
        <w:trPr>
          <w:trHeight w:val="120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 w:rsidRPr="00266776"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880.000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 w:rsidRPr="00266776"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880.000</w:t>
            </w:r>
          </w:p>
        </w:tc>
      </w:tr>
      <w:tr w:rsidR="00650801" w:rsidRPr="00266776" w:rsidTr="00650801">
        <w:trPr>
          <w:trHeight w:val="111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 w:rsidRPr="00266776"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135.000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 w:rsidRPr="00266776"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135.000</w:t>
            </w:r>
          </w:p>
        </w:tc>
      </w:tr>
      <w:tr w:rsidR="00650801" w:rsidRPr="00266776" w:rsidTr="00650801">
        <w:trPr>
          <w:trHeight w:val="75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1.400.000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1" w:rsidRPr="00266776" w:rsidRDefault="00650801" w:rsidP="000C470B">
            <w:pPr>
              <w:widowControl w:val="0"/>
              <w:suppressAutoHyphens/>
              <w:ind w:right="-25"/>
              <w:jc w:val="both"/>
              <w:textAlignment w:val="baseline"/>
              <w:outlineLvl w:val="0"/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Cs/>
                <w:kern w:val="1"/>
                <w:sz w:val="20"/>
                <w:szCs w:val="20"/>
                <w:lang w:eastAsia="ar-SA"/>
              </w:rPr>
              <w:t>1.400.000</w:t>
            </w:r>
          </w:p>
        </w:tc>
      </w:tr>
    </w:tbl>
    <w:p w:rsidR="00701FF5" w:rsidRDefault="00701FF5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C0250D" w:rsidRDefault="00C0250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C0250D">
        <w:rPr>
          <w:rFonts w:eastAsia="Lucida Sans Unicode"/>
          <w:kern w:val="1"/>
          <w:lang w:eastAsia="ar-SA"/>
        </w:rPr>
        <w:t>W 20</w:t>
      </w:r>
      <w:r w:rsidR="009A6328">
        <w:rPr>
          <w:rFonts w:eastAsia="Lucida Sans Unicode"/>
          <w:kern w:val="1"/>
          <w:lang w:eastAsia="ar-SA"/>
        </w:rPr>
        <w:t>20</w:t>
      </w:r>
      <w:r w:rsidRPr="00C0250D">
        <w:rPr>
          <w:rFonts w:eastAsia="Lucida Sans Unicode"/>
          <w:kern w:val="1"/>
          <w:lang w:eastAsia="ar-SA"/>
        </w:rPr>
        <w:t xml:space="preserve"> roku opłaty lokalne w stosunku do roku poprzedniego </w:t>
      </w:r>
      <w:r w:rsidR="00266776">
        <w:rPr>
          <w:rFonts w:eastAsia="Lucida Sans Unicode"/>
          <w:kern w:val="1"/>
          <w:lang w:eastAsia="ar-SA"/>
        </w:rPr>
        <w:t>są z niewielkim wzrostem</w:t>
      </w:r>
      <w:r w:rsidR="00F92B7A">
        <w:rPr>
          <w:rFonts w:eastAsia="Lucida Sans Unicode"/>
          <w:kern w:val="1"/>
          <w:lang w:eastAsia="ar-SA"/>
        </w:rPr>
        <w:t>.</w:t>
      </w:r>
      <w:r w:rsidR="00266776">
        <w:rPr>
          <w:rFonts w:eastAsia="Lucida Sans Unicode"/>
          <w:kern w:val="1"/>
          <w:lang w:eastAsia="ar-SA"/>
        </w:rPr>
        <w:t xml:space="preserve"> </w:t>
      </w:r>
      <w:r w:rsidRPr="00C0250D">
        <w:rPr>
          <w:rFonts w:eastAsia="Lucida Sans Unicode"/>
          <w:kern w:val="1"/>
          <w:lang w:eastAsia="ar-SA"/>
        </w:rPr>
        <w:t>W latach 20</w:t>
      </w:r>
      <w:r w:rsidR="00617D27">
        <w:rPr>
          <w:rFonts w:eastAsia="Lucida Sans Unicode"/>
          <w:kern w:val="1"/>
          <w:lang w:eastAsia="ar-SA"/>
        </w:rPr>
        <w:t>2</w:t>
      </w:r>
      <w:r w:rsidR="009A6328">
        <w:rPr>
          <w:rFonts w:eastAsia="Lucida Sans Unicode"/>
          <w:kern w:val="1"/>
          <w:lang w:eastAsia="ar-SA"/>
        </w:rPr>
        <w:t>1</w:t>
      </w:r>
      <w:r w:rsidRPr="00C0250D">
        <w:rPr>
          <w:rFonts w:eastAsia="Lucida Sans Unicode"/>
          <w:kern w:val="1"/>
          <w:lang w:eastAsia="ar-SA"/>
        </w:rPr>
        <w:t>-</w:t>
      </w:r>
      <w:r w:rsidRPr="00AB5B19">
        <w:rPr>
          <w:rFonts w:eastAsia="Lucida Sans Unicode"/>
          <w:kern w:val="1"/>
          <w:lang w:eastAsia="ar-SA"/>
        </w:rPr>
        <w:t>20</w:t>
      </w:r>
      <w:r w:rsidR="00B432BE">
        <w:rPr>
          <w:rFonts w:eastAsia="Lucida Sans Unicode"/>
          <w:kern w:val="1"/>
          <w:lang w:eastAsia="ar-SA"/>
        </w:rPr>
        <w:t>3</w:t>
      </w:r>
      <w:r w:rsidR="00904AA4">
        <w:rPr>
          <w:rFonts w:eastAsia="Lucida Sans Unicode"/>
          <w:kern w:val="1"/>
          <w:lang w:eastAsia="ar-SA"/>
        </w:rPr>
        <w:t>0</w:t>
      </w:r>
      <w:r w:rsidR="00B432BE">
        <w:rPr>
          <w:rFonts w:eastAsia="Lucida Sans Unicode"/>
          <w:kern w:val="1"/>
          <w:lang w:eastAsia="ar-SA"/>
        </w:rPr>
        <w:t xml:space="preserve"> </w:t>
      </w:r>
      <w:r w:rsidRPr="00C0250D">
        <w:rPr>
          <w:rFonts w:eastAsia="Lucida Sans Unicode"/>
          <w:kern w:val="1"/>
          <w:lang w:eastAsia="ar-SA"/>
        </w:rPr>
        <w:t>zakłada się wzrost tych dochodów o wskaźnik inflacji</w:t>
      </w:r>
      <w:r w:rsidRPr="00AB5B19">
        <w:rPr>
          <w:rFonts w:eastAsia="Lucida Sans Unicode"/>
          <w:kern w:val="1"/>
          <w:lang w:eastAsia="ar-SA"/>
        </w:rPr>
        <w:t xml:space="preserve"> oraz wzrost stawki podatkowej .</w:t>
      </w:r>
    </w:p>
    <w:p w:rsidR="0039655B" w:rsidRDefault="0039655B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D045CA" w:rsidRDefault="00C0250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  <w:r w:rsidRPr="00C0250D">
        <w:rPr>
          <w:rFonts w:eastAsia="Lucida Sans Unicode"/>
          <w:b/>
          <w:kern w:val="1"/>
          <w:lang w:eastAsia="ar-SA"/>
        </w:rPr>
        <w:t>Udziały we wpływach z podatków dochodowych od osób fizycznych i prawnych</w:t>
      </w:r>
      <w:r w:rsidR="00D045CA">
        <w:rPr>
          <w:rFonts w:eastAsia="Lucida Sans Unicode"/>
          <w:b/>
          <w:kern w:val="1"/>
          <w:lang w:eastAsia="ar-SA"/>
        </w:rPr>
        <w:t>.</w:t>
      </w:r>
    </w:p>
    <w:p w:rsidR="00C0250D" w:rsidRPr="00C0250D" w:rsidRDefault="00C0250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  <w:r w:rsidRPr="00C0250D">
        <w:rPr>
          <w:rFonts w:eastAsia="Lucida Sans Unicode"/>
          <w:b/>
          <w:kern w:val="1"/>
          <w:lang w:eastAsia="ar-SA"/>
        </w:rPr>
        <w:t xml:space="preserve"> </w:t>
      </w:r>
    </w:p>
    <w:p w:rsidR="00C0250D" w:rsidRPr="00C0250D" w:rsidRDefault="00C0250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C0250D">
        <w:rPr>
          <w:rFonts w:eastAsia="Lucida Sans Unicode"/>
          <w:kern w:val="1"/>
          <w:lang w:eastAsia="ar-SA"/>
        </w:rPr>
        <w:t>Dochody z tytułu udziałów w podatku dochodowym od osób fizycznych (PIT) oraz od osób prawnych (CIT) należą do najbardziej wrażliwych na zmiany w koniunkturze gospodarczej. Ministerstwo Finansów zaleca aby poziom dochodów z tytułu udziałów we wpływach z podatków prognozować w oparciu o wybrane wielkości makroekonomiczne podawane przez Radę Ministrów, takich jak: PKB, ceny towarów i usług, przeciętne wynagrodzenie, dostosowując je do sytuacji w gminie.  Wpływy z tytułu udziału z podatku  dochodowym od osób fizycznych przyjęto na rok 20</w:t>
      </w:r>
      <w:r w:rsidR="009A6328">
        <w:rPr>
          <w:rFonts w:eastAsia="Lucida Sans Unicode"/>
          <w:kern w:val="1"/>
          <w:lang w:eastAsia="ar-SA"/>
        </w:rPr>
        <w:t>20</w:t>
      </w:r>
      <w:r w:rsidRPr="00C0250D">
        <w:rPr>
          <w:rFonts w:eastAsia="Lucida Sans Unicode"/>
          <w:kern w:val="1"/>
          <w:lang w:eastAsia="ar-SA"/>
        </w:rPr>
        <w:t xml:space="preserve"> w   wysokości podanej przez Ministra Finansów, </w:t>
      </w:r>
      <w:r w:rsidRPr="00AB5B19">
        <w:rPr>
          <w:rFonts w:eastAsia="Lucida Sans Unicode"/>
          <w:kern w:val="1"/>
          <w:lang w:eastAsia="ar-SA"/>
        </w:rPr>
        <w:t>w</w:t>
      </w:r>
      <w:r w:rsidRPr="00C0250D">
        <w:rPr>
          <w:rFonts w:eastAsia="Lucida Sans Unicode"/>
          <w:kern w:val="1"/>
          <w:lang w:eastAsia="ar-SA"/>
        </w:rPr>
        <w:t xml:space="preserve"> kwocie </w:t>
      </w:r>
      <w:r w:rsidR="00266776">
        <w:rPr>
          <w:rFonts w:eastAsia="Lucida Sans Unicode"/>
          <w:kern w:val="1"/>
          <w:lang w:eastAsia="ar-SA"/>
        </w:rPr>
        <w:t>2.</w:t>
      </w:r>
      <w:r w:rsidR="009A6328">
        <w:rPr>
          <w:rFonts w:eastAsia="Lucida Sans Unicode"/>
          <w:kern w:val="1"/>
          <w:lang w:eastAsia="ar-SA"/>
        </w:rPr>
        <w:t>867.339</w:t>
      </w:r>
      <w:r w:rsidRPr="00AB5B19">
        <w:rPr>
          <w:rFonts w:eastAsia="Lucida Sans Unicode"/>
          <w:kern w:val="1"/>
          <w:lang w:eastAsia="ar-SA"/>
        </w:rPr>
        <w:t>,00</w:t>
      </w:r>
      <w:r w:rsidRPr="00C0250D">
        <w:rPr>
          <w:rFonts w:eastAsia="Lucida Sans Unicode"/>
          <w:kern w:val="1"/>
          <w:lang w:eastAsia="ar-SA"/>
        </w:rPr>
        <w:t xml:space="preserve">zł. W latach następnych prognozuje się </w:t>
      </w:r>
      <w:r w:rsidRPr="00AB5B19">
        <w:rPr>
          <w:rFonts w:eastAsia="Lucida Sans Unicode"/>
          <w:kern w:val="1"/>
          <w:lang w:eastAsia="ar-SA"/>
        </w:rPr>
        <w:t xml:space="preserve">utrzymanie </w:t>
      </w:r>
      <w:r w:rsidRPr="00C0250D">
        <w:rPr>
          <w:rFonts w:eastAsia="Lucida Sans Unicode"/>
          <w:kern w:val="1"/>
          <w:lang w:eastAsia="ar-SA"/>
        </w:rPr>
        <w:t xml:space="preserve"> dochodów z tego tytułu</w:t>
      </w:r>
      <w:r w:rsidR="00266776">
        <w:rPr>
          <w:rFonts w:eastAsia="Lucida Sans Unicode"/>
          <w:kern w:val="1"/>
          <w:lang w:eastAsia="ar-SA"/>
        </w:rPr>
        <w:t xml:space="preserve"> z niewielkim wzrostem</w:t>
      </w:r>
      <w:r w:rsidRPr="00AB5B19">
        <w:rPr>
          <w:rFonts w:eastAsia="Lucida Sans Unicode"/>
          <w:kern w:val="1"/>
          <w:lang w:eastAsia="ar-SA"/>
        </w:rPr>
        <w:t>.</w:t>
      </w:r>
    </w:p>
    <w:p w:rsidR="00D045CA" w:rsidRDefault="00C0250D" w:rsidP="004C08B2">
      <w:pPr>
        <w:widowControl w:val="0"/>
        <w:tabs>
          <w:tab w:val="left" w:pos="709"/>
          <w:tab w:val="right" w:pos="907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C0250D">
        <w:rPr>
          <w:rFonts w:eastAsia="Lucida Sans Unicode"/>
          <w:kern w:val="1"/>
          <w:lang w:eastAsia="ar-SA"/>
        </w:rPr>
        <w:t>Dochody z tytułu udziału we wpływach z podatku od osób prawnych zostały zaplanowane w oparciu o przewidywane wykonanie za 201</w:t>
      </w:r>
      <w:r w:rsidR="009A6328">
        <w:rPr>
          <w:rFonts w:eastAsia="Lucida Sans Unicode"/>
          <w:kern w:val="1"/>
          <w:lang w:eastAsia="ar-SA"/>
        </w:rPr>
        <w:t>9</w:t>
      </w:r>
      <w:r w:rsidRPr="00C0250D">
        <w:rPr>
          <w:rFonts w:eastAsia="Lucida Sans Unicode"/>
          <w:kern w:val="1"/>
          <w:lang w:eastAsia="ar-SA"/>
        </w:rPr>
        <w:t xml:space="preserve"> rok, następnie przeszacowane o założone wskaźniki inflacji średniorocznej oraz dynamikę PKB z uwzględnieniem rozwoju gospodarki lokalnej. </w:t>
      </w:r>
    </w:p>
    <w:p w:rsidR="00D045CA" w:rsidRDefault="00D045CA" w:rsidP="004C08B2">
      <w:pPr>
        <w:widowControl w:val="0"/>
        <w:tabs>
          <w:tab w:val="left" w:pos="709"/>
          <w:tab w:val="right" w:pos="907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C0250D" w:rsidRPr="00AB5B19" w:rsidRDefault="00C0250D" w:rsidP="004C08B2">
      <w:pPr>
        <w:widowControl w:val="0"/>
        <w:tabs>
          <w:tab w:val="left" w:pos="709"/>
          <w:tab w:val="right" w:pos="907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C0250D">
        <w:rPr>
          <w:rFonts w:eastAsia="Lucida Sans Unicode"/>
          <w:kern w:val="1"/>
          <w:lang w:eastAsia="ar-SA"/>
        </w:rPr>
        <w:t>Dynamika planowanych wpływów z udziałów w podatku od osób fizycznych i prawnych przedstawia się następująco:</w:t>
      </w:r>
    </w:p>
    <w:p w:rsidR="00AA0862" w:rsidRDefault="00AA0862" w:rsidP="004C08B2">
      <w:pPr>
        <w:widowControl w:val="0"/>
        <w:tabs>
          <w:tab w:val="left" w:pos="709"/>
          <w:tab w:val="right" w:pos="9072"/>
        </w:tabs>
        <w:suppressAutoHyphens/>
        <w:ind w:right="-25"/>
        <w:jc w:val="both"/>
        <w:textAlignment w:val="baseline"/>
        <w:rPr>
          <w:rFonts w:ascii="Calibri" w:eastAsia="Lucida Sans Unicode" w:hAnsi="Calibri"/>
          <w:kern w:val="1"/>
          <w:sz w:val="22"/>
          <w:szCs w:val="22"/>
          <w:lang w:eastAsia="ar-SA"/>
        </w:rPr>
      </w:pPr>
    </w:p>
    <w:tbl>
      <w:tblPr>
        <w:tblW w:w="9142" w:type="dxa"/>
        <w:jc w:val="center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942"/>
        <w:gridCol w:w="994"/>
        <w:gridCol w:w="897"/>
        <w:gridCol w:w="772"/>
        <w:gridCol w:w="675"/>
        <w:gridCol w:w="675"/>
        <w:gridCol w:w="675"/>
        <w:gridCol w:w="675"/>
        <w:gridCol w:w="675"/>
      </w:tblGrid>
      <w:tr w:rsidR="00AA0862" w:rsidRPr="00AA0862" w:rsidTr="00AA0862">
        <w:trPr>
          <w:trHeight w:val="251"/>
          <w:jc w:val="center"/>
        </w:trPr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Wyszczególnienie</w:t>
            </w:r>
          </w:p>
        </w:tc>
        <w:tc>
          <w:tcPr>
            <w:tcW w:w="698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 xml:space="preserve">Dynamika w latach </w:t>
            </w:r>
          </w:p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4"/>
                <w:szCs w:val="14"/>
                <w:lang w:eastAsia="ar-SA"/>
              </w:rPr>
            </w:pPr>
          </w:p>
        </w:tc>
      </w:tr>
      <w:tr w:rsidR="00AA0862" w:rsidRPr="00AA0862" w:rsidTr="009A6328">
        <w:trPr>
          <w:trHeight w:val="251"/>
          <w:jc w:val="center"/>
        </w:trPr>
        <w:tc>
          <w:tcPr>
            <w:tcW w:w="21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</w:t>
            </w:r>
            <w:r w:rsidR="00617D27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</w:t>
            </w:r>
            <w:r w:rsidR="00617D27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</w:t>
            </w:r>
            <w:r w:rsidR="00880961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</w:t>
            </w:r>
            <w:r w:rsidR="00880961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</w:t>
            </w:r>
            <w:r w:rsidR="0039655B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</w:t>
            </w:r>
            <w:r w:rsidR="000F793D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202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862" w:rsidRPr="00AA0862" w:rsidRDefault="00AA0862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202</w:t>
            </w:r>
            <w:r w:rsidR="009A632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8</w:t>
            </w:r>
          </w:p>
        </w:tc>
      </w:tr>
      <w:tr w:rsidR="00AA0862" w:rsidRPr="00AA0862" w:rsidTr="009A6328">
        <w:trPr>
          <w:trHeight w:val="722"/>
          <w:jc w:val="center"/>
        </w:trPr>
        <w:tc>
          <w:tcPr>
            <w:tcW w:w="216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Udziały w podatku dochodowym od</w:t>
            </w:r>
          </w:p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osób fizycznych</w:t>
            </w:r>
          </w:p>
        </w:tc>
        <w:tc>
          <w:tcPr>
            <w:tcW w:w="12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0862" w:rsidRDefault="009A6328" w:rsidP="00617D2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2.867.339</w:t>
            </w:r>
          </w:p>
          <w:p w:rsidR="009A6328" w:rsidRPr="00AA0862" w:rsidRDefault="009A6328" w:rsidP="00617D2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9A6328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2.952.000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9A6328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2.980.000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2.980.000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9A6328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3.150.000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3.200.000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3.350.000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9A6328" w:rsidP="00E90131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3.537.000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862" w:rsidRPr="00AA0862" w:rsidRDefault="009A6328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3.731.000</w:t>
            </w:r>
          </w:p>
        </w:tc>
      </w:tr>
      <w:tr w:rsidR="00AA0862" w:rsidRPr="00AA0862" w:rsidTr="009A6328">
        <w:trPr>
          <w:trHeight w:val="53"/>
          <w:jc w:val="center"/>
        </w:trPr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Udziały w podatku dochodowym od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1E6A69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20.000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1E6A69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25.000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1E6A69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27.000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1E6A69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27.000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1E6A69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34.000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1E6A69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37.000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1E6A69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40.000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1E6A69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43.000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862" w:rsidRPr="00AA0862" w:rsidRDefault="001E6A69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46.000</w:t>
            </w:r>
          </w:p>
        </w:tc>
      </w:tr>
      <w:tr w:rsidR="00AA0862" w:rsidRPr="00AA0862" w:rsidTr="009A6328">
        <w:trPr>
          <w:trHeight w:val="247"/>
          <w:jc w:val="center"/>
        </w:trPr>
        <w:tc>
          <w:tcPr>
            <w:tcW w:w="216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AA0862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osób prawnych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862" w:rsidRPr="00AA0862" w:rsidRDefault="00AA086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</w:tr>
    </w:tbl>
    <w:p w:rsidR="00AA0862" w:rsidRDefault="00AA0862" w:rsidP="004C08B2">
      <w:pPr>
        <w:widowControl w:val="0"/>
        <w:suppressAutoHyphens/>
        <w:ind w:right="-25"/>
        <w:jc w:val="both"/>
        <w:textAlignment w:val="baseline"/>
        <w:rPr>
          <w:rFonts w:ascii="Calibri" w:eastAsia="Lucida Sans Unicode" w:hAnsi="Calibri"/>
          <w:i/>
          <w:kern w:val="1"/>
          <w:lang w:eastAsia="ar-SA"/>
        </w:rPr>
      </w:pPr>
    </w:p>
    <w:p w:rsidR="00880961" w:rsidRDefault="00880961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880961" w:rsidRDefault="00880961" w:rsidP="004C08B2">
      <w:pPr>
        <w:widowControl w:val="0"/>
        <w:tabs>
          <w:tab w:val="left" w:pos="2796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ab/>
      </w:r>
    </w:p>
    <w:tbl>
      <w:tblPr>
        <w:tblW w:w="272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1418"/>
      </w:tblGrid>
      <w:tr w:rsidR="009A6328" w:rsidRPr="00AA0862" w:rsidTr="009A6328">
        <w:trPr>
          <w:trHeight w:val="251"/>
          <w:jc w:val="center"/>
        </w:trPr>
        <w:tc>
          <w:tcPr>
            <w:tcW w:w="1311" w:type="dxa"/>
            <w:shd w:val="clear" w:color="auto" w:fill="auto"/>
            <w:noWrap/>
            <w:vAlign w:val="center"/>
          </w:tcPr>
          <w:p w:rsidR="009A6328" w:rsidRPr="00AA0862" w:rsidRDefault="009A6328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328" w:rsidRPr="00AA0862" w:rsidRDefault="009A6328" w:rsidP="009A6328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2030</w:t>
            </w:r>
          </w:p>
        </w:tc>
      </w:tr>
      <w:tr w:rsidR="009A6328" w:rsidRPr="00AA0862" w:rsidTr="009A6328">
        <w:trPr>
          <w:trHeight w:val="722"/>
          <w:jc w:val="center"/>
        </w:trPr>
        <w:tc>
          <w:tcPr>
            <w:tcW w:w="1311" w:type="dxa"/>
            <w:shd w:val="clear" w:color="auto" w:fill="auto"/>
            <w:noWrap/>
            <w:vAlign w:val="center"/>
          </w:tcPr>
          <w:p w:rsidR="009A6328" w:rsidRPr="00AA0862" w:rsidRDefault="009A6328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3.936.000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328" w:rsidRPr="00AA0862" w:rsidRDefault="009A6328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4.148.000</w:t>
            </w:r>
          </w:p>
        </w:tc>
      </w:tr>
      <w:tr w:rsidR="009A6328" w:rsidRPr="00AA0862" w:rsidTr="009A6328">
        <w:trPr>
          <w:trHeight w:val="421"/>
          <w:jc w:val="center"/>
        </w:trPr>
        <w:tc>
          <w:tcPr>
            <w:tcW w:w="1311" w:type="dxa"/>
            <w:vMerge w:val="restart"/>
            <w:shd w:val="clear" w:color="auto" w:fill="auto"/>
            <w:noWrap/>
            <w:vAlign w:val="center"/>
          </w:tcPr>
          <w:p w:rsidR="009A6328" w:rsidRPr="00AA0862" w:rsidRDefault="001E6A69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49.000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A6328" w:rsidRPr="00AA0862" w:rsidRDefault="001E6A69" w:rsidP="004849A7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  <w:r>
              <w:rPr>
                <w:rFonts w:eastAsia="Lucida Sans Unicode"/>
                <w:kern w:val="1"/>
                <w:sz w:val="14"/>
                <w:szCs w:val="14"/>
                <w:lang w:eastAsia="ar-SA"/>
              </w:rPr>
              <w:t>52.000</w:t>
            </w:r>
          </w:p>
        </w:tc>
      </w:tr>
      <w:tr w:rsidR="009A6328" w:rsidRPr="00AA0862" w:rsidTr="009A6328">
        <w:trPr>
          <w:trHeight w:val="247"/>
          <w:jc w:val="center"/>
        </w:trPr>
        <w:tc>
          <w:tcPr>
            <w:tcW w:w="1311" w:type="dxa"/>
            <w:vMerge/>
            <w:shd w:val="clear" w:color="auto" w:fill="auto"/>
            <w:noWrap/>
            <w:vAlign w:val="center"/>
          </w:tcPr>
          <w:p w:rsidR="009A6328" w:rsidRPr="00AA0862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A6328" w:rsidRPr="00AA0862" w:rsidRDefault="009A632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4"/>
                <w:szCs w:val="14"/>
                <w:lang w:eastAsia="ar-SA"/>
              </w:rPr>
            </w:pPr>
          </w:p>
        </w:tc>
      </w:tr>
    </w:tbl>
    <w:p w:rsidR="00880961" w:rsidRDefault="00880961" w:rsidP="004C08B2">
      <w:pPr>
        <w:widowControl w:val="0"/>
        <w:tabs>
          <w:tab w:val="left" w:pos="2796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880961" w:rsidRDefault="00880961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1E6A69" w:rsidRDefault="001E6A69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162C23" w:rsidRDefault="00AA0862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AB5B19">
        <w:rPr>
          <w:rFonts w:eastAsia="Lucida Sans Unicode"/>
          <w:kern w:val="1"/>
          <w:lang w:eastAsia="ar-SA"/>
        </w:rPr>
        <w:lastRenderedPageBreak/>
        <w:t>Udziały we wpływach z podatku dochodowego w 20</w:t>
      </w:r>
      <w:r w:rsidR="001E6A69">
        <w:rPr>
          <w:rFonts w:eastAsia="Lucida Sans Unicode"/>
          <w:kern w:val="1"/>
          <w:lang w:eastAsia="ar-SA"/>
        </w:rPr>
        <w:t>20</w:t>
      </w:r>
      <w:r w:rsidRPr="00AB5B19">
        <w:rPr>
          <w:rFonts w:eastAsia="Lucida Sans Unicode"/>
          <w:kern w:val="1"/>
          <w:lang w:eastAsia="ar-SA"/>
        </w:rPr>
        <w:t xml:space="preserve"> roku </w:t>
      </w:r>
      <w:r w:rsidR="000F0ACC">
        <w:rPr>
          <w:rFonts w:eastAsia="Lucida Sans Unicode"/>
          <w:kern w:val="1"/>
          <w:lang w:eastAsia="ar-SA"/>
        </w:rPr>
        <w:t>i w latac</w:t>
      </w:r>
      <w:r w:rsidR="004C08B2">
        <w:rPr>
          <w:rFonts w:eastAsia="Lucida Sans Unicode"/>
          <w:kern w:val="1"/>
          <w:lang w:eastAsia="ar-SA"/>
        </w:rPr>
        <w:t>h</w:t>
      </w:r>
      <w:r w:rsidR="000F0ACC">
        <w:rPr>
          <w:rFonts w:eastAsia="Lucida Sans Unicode"/>
          <w:kern w:val="1"/>
          <w:lang w:eastAsia="ar-SA"/>
        </w:rPr>
        <w:t xml:space="preserve"> następnych są </w:t>
      </w:r>
      <w:r w:rsidR="00770225">
        <w:rPr>
          <w:rFonts w:eastAsia="Lucida Sans Unicode"/>
          <w:kern w:val="1"/>
          <w:lang w:eastAsia="ar-SA"/>
        </w:rPr>
        <w:t>ze wzrostem w porównaniu do lat poprzednich.</w:t>
      </w:r>
    </w:p>
    <w:p w:rsidR="00770225" w:rsidRPr="00AB5B19" w:rsidRDefault="00770225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AA0862" w:rsidRPr="00AB5B19" w:rsidRDefault="00594BC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AB5B19">
        <w:rPr>
          <w:rFonts w:eastAsia="Lucida Sans Unicode"/>
          <w:kern w:val="1"/>
          <w:lang w:eastAsia="ar-SA"/>
        </w:rPr>
        <w:t>Wykonanie tych dochodów za 201</w:t>
      </w:r>
      <w:r w:rsidR="001E6A69">
        <w:rPr>
          <w:rFonts w:eastAsia="Lucida Sans Unicode"/>
          <w:kern w:val="1"/>
          <w:lang w:eastAsia="ar-SA"/>
        </w:rPr>
        <w:t>8</w:t>
      </w:r>
      <w:r w:rsidRPr="00AB5B19">
        <w:rPr>
          <w:rFonts w:eastAsia="Lucida Sans Unicode"/>
          <w:kern w:val="1"/>
          <w:lang w:eastAsia="ar-SA"/>
        </w:rPr>
        <w:t xml:space="preserve"> rok to kwota </w:t>
      </w:r>
      <w:r w:rsidR="004849A7">
        <w:rPr>
          <w:rFonts w:eastAsia="Lucida Sans Unicode"/>
          <w:kern w:val="1"/>
          <w:lang w:eastAsia="ar-SA"/>
        </w:rPr>
        <w:t>2.</w:t>
      </w:r>
      <w:r w:rsidR="001E6A69">
        <w:rPr>
          <w:rFonts w:eastAsia="Lucida Sans Unicode"/>
          <w:kern w:val="1"/>
          <w:lang w:eastAsia="ar-SA"/>
        </w:rPr>
        <w:t>336.807</w:t>
      </w:r>
      <w:r w:rsidRPr="00AB5B19">
        <w:rPr>
          <w:rFonts w:eastAsia="Lucida Sans Unicode"/>
          <w:kern w:val="1"/>
          <w:lang w:eastAsia="ar-SA"/>
        </w:rPr>
        <w:t xml:space="preserve">,00 i jest </w:t>
      </w:r>
      <w:r w:rsidR="00770225">
        <w:rPr>
          <w:rFonts w:eastAsia="Lucida Sans Unicode"/>
          <w:kern w:val="1"/>
          <w:lang w:eastAsia="ar-SA"/>
        </w:rPr>
        <w:t>niższa</w:t>
      </w:r>
      <w:r w:rsidRPr="00AB5B19">
        <w:rPr>
          <w:rFonts w:eastAsia="Lucida Sans Unicode"/>
          <w:kern w:val="1"/>
          <w:lang w:eastAsia="ar-SA"/>
        </w:rPr>
        <w:t xml:space="preserve"> niż planowana na 201</w:t>
      </w:r>
      <w:r w:rsidR="004849A7">
        <w:rPr>
          <w:rFonts w:eastAsia="Lucida Sans Unicode"/>
          <w:kern w:val="1"/>
          <w:lang w:eastAsia="ar-SA"/>
        </w:rPr>
        <w:t>9</w:t>
      </w:r>
      <w:r w:rsidRPr="00AB5B19">
        <w:rPr>
          <w:rFonts w:eastAsia="Lucida Sans Unicode"/>
          <w:kern w:val="1"/>
          <w:lang w:eastAsia="ar-SA"/>
        </w:rPr>
        <w:t xml:space="preserve"> o około </w:t>
      </w:r>
      <w:r w:rsidR="001E6A69">
        <w:rPr>
          <w:rFonts w:eastAsia="Lucida Sans Unicode"/>
          <w:kern w:val="1"/>
          <w:lang w:eastAsia="ar-SA"/>
        </w:rPr>
        <w:t>24</w:t>
      </w:r>
      <w:r w:rsidRPr="00AB5B19">
        <w:rPr>
          <w:rFonts w:eastAsia="Lucida Sans Unicode"/>
          <w:kern w:val="1"/>
          <w:lang w:eastAsia="ar-SA"/>
        </w:rPr>
        <w:t xml:space="preserve">%. </w:t>
      </w:r>
    </w:p>
    <w:p w:rsidR="00AA0862" w:rsidRPr="00AB5B19" w:rsidRDefault="00AA0862" w:rsidP="004C08B2">
      <w:pPr>
        <w:widowControl w:val="0"/>
        <w:tabs>
          <w:tab w:val="left" w:pos="709"/>
          <w:tab w:val="right" w:pos="907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AA0862" w:rsidRPr="00C0250D" w:rsidRDefault="00AA0862" w:rsidP="004C08B2">
      <w:pPr>
        <w:widowControl w:val="0"/>
        <w:tabs>
          <w:tab w:val="left" w:pos="709"/>
          <w:tab w:val="right" w:pos="907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C0250D" w:rsidRPr="00C0250D" w:rsidRDefault="00C0250D" w:rsidP="004C08B2">
      <w:pPr>
        <w:widowControl w:val="0"/>
        <w:tabs>
          <w:tab w:val="left" w:pos="709"/>
          <w:tab w:val="right" w:pos="907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594BCD" w:rsidRPr="00594BCD" w:rsidRDefault="00594BC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  <w:r w:rsidRPr="00594BCD">
        <w:rPr>
          <w:rFonts w:eastAsia="Lucida Sans Unicode"/>
          <w:b/>
          <w:kern w:val="1"/>
          <w:lang w:eastAsia="ar-SA"/>
        </w:rPr>
        <w:t>Dotacje celowe z budżetu państwa, dotacje z budżetów innych JST, płatności ze środków europejskich</w:t>
      </w:r>
    </w:p>
    <w:p w:rsidR="00594BCD" w:rsidRPr="00594BCD" w:rsidRDefault="00594BC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594BCD" w:rsidRPr="00AB5B19" w:rsidRDefault="00594BC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594BCD">
        <w:rPr>
          <w:rFonts w:eastAsia="Lucida Sans Unicode"/>
          <w:kern w:val="1"/>
          <w:lang w:eastAsia="ar-SA"/>
        </w:rPr>
        <w:t>Na rok 20</w:t>
      </w:r>
      <w:r w:rsidR="001E6A69">
        <w:rPr>
          <w:rFonts w:eastAsia="Lucida Sans Unicode"/>
          <w:kern w:val="1"/>
          <w:lang w:eastAsia="ar-SA"/>
        </w:rPr>
        <w:t>20</w:t>
      </w:r>
      <w:r w:rsidRPr="00594BCD">
        <w:rPr>
          <w:rFonts w:eastAsia="Lucida Sans Unicode"/>
          <w:kern w:val="1"/>
          <w:lang w:eastAsia="ar-SA"/>
        </w:rPr>
        <w:t xml:space="preserve">  kwotę </w:t>
      </w:r>
      <w:r w:rsidRPr="00594BCD">
        <w:rPr>
          <w:rFonts w:eastAsia="Lucida Sans Unicode"/>
          <w:b/>
          <w:kern w:val="1"/>
          <w:lang w:eastAsia="ar-SA"/>
        </w:rPr>
        <w:t>dotacji na zadania z zakresu administracji rządowej i dochodów związanych z realizacją zadań z zakresu administracji rządowej</w:t>
      </w:r>
      <w:r w:rsidRPr="00594BCD">
        <w:rPr>
          <w:rFonts w:eastAsia="Lucida Sans Unicode"/>
          <w:kern w:val="1"/>
          <w:lang w:eastAsia="ar-SA"/>
        </w:rPr>
        <w:t xml:space="preserve"> przyjęto w wysokości zgodnej z informacją Wojewody Mazowieckiego z dnia </w:t>
      </w:r>
      <w:r w:rsidRPr="00AB5B19">
        <w:rPr>
          <w:rFonts w:eastAsia="Lucida Sans Unicode"/>
          <w:kern w:val="1"/>
          <w:lang w:eastAsia="ar-SA"/>
        </w:rPr>
        <w:t>2</w:t>
      </w:r>
      <w:r w:rsidR="001179CA">
        <w:rPr>
          <w:rFonts w:eastAsia="Lucida Sans Unicode"/>
          <w:kern w:val="1"/>
          <w:lang w:eastAsia="ar-SA"/>
        </w:rPr>
        <w:t>3</w:t>
      </w:r>
      <w:r w:rsidRPr="00AB5B19">
        <w:rPr>
          <w:rFonts w:eastAsia="Lucida Sans Unicode"/>
          <w:kern w:val="1"/>
          <w:lang w:eastAsia="ar-SA"/>
        </w:rPr>
        <w:t xml:space="preserve"> 10.201</w:t>
      </w:r>
      <w:r w:rsidR="001E6A69">
        <w:rPr>
          <w:rFonts w:eastAsia="Lucida Sans Unicode"/>
          <w:kern w:val="1"/>
          <w:lang w:eastAsia="ar-SA"/>
        </w:rPr>
        <w:t>9</w:t>
      </w:r>
      <w:r w:rsidRPr="00AB5B19">
        <w:rPr>
          <w:rFonts w:eastAsia="Lucida Sans Unicode"/>
          <w:kern w:val="1"/>
          <w:lang w:eastAsia="ar-SA"/>
        </w:rPr>
        <w:t>.</w:t>
      </w:r>
      <w:r w:rsidRPr="00594BCD">
        <w:rPr>
          <w:rFonts w:eastAsia="Lucida Sans Unicode"/>
          <w:b/>
          <w:kern w:val="1"/>
          <w:lang w:eastAsia="ar-SA"/>
        </w:rPr>
        <w:t xml:space="preserve">  </w:t>
      </w:r>
      <w:r w:rsidRPr="00594BCD">
        <w:rPr>
          <w:rFonts w:eastAsia="Lucida Sans Unicode"/>
          <w:kern w:val="1"/>
          <w:lang w:eastAsia="ar-SA"/>
        </w:rPr>
        <w:t xml:space="preserve">Na lata następne wzrost dotacji przewiduje się  w wysokości </w:t>
      </w:r>
      <w:r w:rsidR="001E6A69">
        <w:rPr>
          <w:rFonts w:eastAsia="Lucida Sans Unicode"/>
          <w:kern w:val="1"/>
          <w:lang w:eastAsia="ar-SA"/>
        </w:rPr>
        <w:t xml:space="preserve">około 5 % do </w:t>
      </w:r>
      <w:r w:rsidR="00CD21D6">
        <w:rPr>
          <w:rFonts w:eastAsia="Lucida Sans Unicode"/>
          <w:kern w:val="1"/>
          <w:lang w:eastAsia="ar-SA"/>
        </w:rPr>
        <w:t>10%  biorąc pod uwagę wykonanie za lata poprzednie.</w:t>
      </w:r>
    </w:p>
    <w:p w:rsidR="00594BCD" w:rsidRPr="00AB5B19" w:rsidRDefault="00594BC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594BCD" w:rsidRPr="00594BCD" w:rsidRDefault="00594BC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i/>
          <w:kern w:val="1"/>
          <w:lang w:eastAsia="ar-SA"/>
        </w:rPr>
      </w:pPr>
      <w:r w:rsidRPr="00594BCD">
        <w:rPr>
          <w:rFonts w:eastAsia="Lucida Sans Unicode"/>
          <w:b/>
          <w:kern w:val="1"/>
          <w:lang w:eastAsia="ar-SA"/>
        </w:rPr>
        <w:t xml:space="preserve">Dotacje na zadania własne  </w:t>
      </w:r>
      <w:r w:rsidR="00CD21D6">
        <w:rPr>
          <w:rFonts w:eastAsia="Lucida Sans Unicode"/>
          <w:kern w:val="1"/>
          <w:lang w:eastAsia="ar-SA"/>
        </w:rPr>
        <w:t>na rok 20</w:t>
      </w:r>
      <w:r w:rsidR="001E6A69">
        <w:rPr>
          <w:rFonts w:eastAsia="Lucida Sans Unicode"/>
          <w:kern w:val="1"/>
          <w:lang w:eastAsia="ar-SA"/>
        </w:rPr>
        <w:t>20</w:t>
      </w:r>
      <w:r w:rsidRPr="00594BCD">
        <w:rPr>
          <w:rFonts w:eastAsia="Lucida Sans Unicode"/>
          <w:kern w:val="1"/>
          <w:lang w:eastAsia="ar-SA"/>
        </w:rPr>
        <w:t xml:space="preserve"> przyjęto w wysokości ustalonej przez Wojewodę Mazowieckiego, pismem  z dnia </w:t>
      </w:r>
      <w:r w:rsidRPr="00AB5B19">
        <w:rPr>
          <w:rFonts w:eastAsia="Lucida Sans Unicode"/>
          <w:kern w:val="1"/>
          <w:lang w:eastAsia="ar-SA"/>
        </w:rPr>
        <w:t>2</w:t>
      </w:r>
      <w:r w:rsidR="001179CA">
        <w:rPr>
          <w:rFonts w:eastAsia="Lucida Sans Unicode"/>
          <w:kern w:val="1"/>
          <w:lang w:eastAsia="ar-SA"/>
        </w:rPr>
        <w:t>3</w:t>
      </w:r>
      <w:r w:rsidRPr="00AB5B19">
        <w:rPr>
          <w:rFonts w:eastAsia="Lucida Sans Unicode"/>
          <w:kern w:val="1"/>
          <w:lang w:eastAsia="ar-SA"/>
        </w:rPr>
        <w:t>.10.201</w:t>
      </w:r>
      <w:r w:rsidR="001E6A69">
        <w:rPr>
          <w:rFonts w:eastAsia="Lucida Sans Unicode"/>
          <w:kern w:val="1"/>
          <w:lang w:eastAsia="ar-SA"/>
        </w:rPr>
        <w:t>9</w:t>
      </w:r>
      <w:r w:rsidRPr="00AB5B19">
        <w:rPr>
          <w:rFonts w:eastAsia="Lucida Sans Unicode"/>
          <w:kern w:val="1"/>
          <w:lang w:eastAsia="ar-SA"/>
        </w:rPr>
        <w:t>r</w:t>
      </w:r>
      <w:r w:rsidRPr="00594BCD">
        <w:rPr>
          <w:rFonts w:eastAsia="Lucida Sans Unicode"/>
          <w:kern w:val="1"/>
          <w:lang w:eastAsia="ar-SA"/>
        </w:rPr>
        <w:t xml:space="preserve"> . </w:t>
      </w:r>
      <w:r w:rsidRPr="00594BCD">
        <w:rPr>
          <w:rFonts w:eastAsia="Lucida Sans Unicode"/>
          <w:b/>
          <w:kern w:val="1"/>
          <w:lang w:eastAsia="ar-SA"/>
        </w:rPr>
        <w:t xml:space="preserve">  </w:t>
      </w:r>
      <w:r w:rsidRPr="00594BCD">
        <w:rPr>
          <w:rFonts w:eastAsia="Lucida Sans Unicode"/>
          <w:kern w:val="1"/>
          <w:lang w:eastAsia="ar-SA"/>
        </w:rPr>
        <w:t xml:space="preserve">Na lata następne wzrost dotacji przewiduje się  </w:t>
      </w:r>
      <w:r w:rsidR="000F0ACC">
        <w:rPr>
          <w:rFonts w:eastAsia="Lucida Sans Unicode"/>
          <w:kern w:val="1"/>
          <w:lang w:eastAsia="ar-SA"/>
        </w:rPr>
        <w:t>utrzymanie d</w:t>
      </w:r>
      <w:r w:rsidR="001E6A69">
        <w:rPr>
          <w:rFonts w:eastAsia="Lucida Sans Unicode"/>
          <w:kern w:val="1"/>
          <w:lang w:eastAsia="ar-SA"/>
        </w:rPr>
        <w:t>otacji z niewielkim wzrostem.</w:t>
      </w:r>
      <w:r w:rsidR="000F0ACC">
        <w:rPr>
          <w:rFonts w:eastAsia="Lucida Sans Unicode"/>
          <w:kern w:val="1"/>
          <w:lang w:eastAsia="ar-SA"/>
        </w:rPr>
        <w:t xml:space="preserve"> </w:t>
      </w:r>
      <w:r w:rsidRPr="00594BCD">
        <w:rPr>
          <w:rFonts w:eastAsia="Lucida Sans Unicode"/>
          <w:kern w:val="1"/>
          <w:lang w:eastAsia="ar-SA"/>
        </w:rPr>
        <w:t xml:space="preserve"> </w:t>
      </w:r>
    </w:p>
    <w:p w:rsidR="000F793D" w:rsidRDefault="000F793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0F793D" w:rsidRDefault="000F793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770225" w:rsidRDefault="00594BC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  <w:r w:rsidRPr="00594BCD">
        <w:rPr>
          <w:rFonts w:eastAsia="Lucida Sans Unicode"/>
          <w:b/>
          <w:kern w:val="1"/>
          <w:lang w:eastAsia="ar-SA"/>
        </w:rPr>
        <w:t xml:space="preserve">Dotacje celowe z UE na przedsięwzięcia finansowane z udziałem środków, o których mowa w art.5 ust.1 pkt 2 i 3 </w:t>
      </w:r>
      <w:proofErr w:type="spellStart"/>
      <w:r w:rsidRPr="00594BCD">
        <w:rPr>
          <w:rFonts w:eastAsia="Lucida Sans Unicode"/>
          <w:b/>
          <w:kern w:val="1"/>
          <w:lang w:eastAsia="ar-SA"/>
        </w:rPr>
        <w:t>u.f.p</w:t>
      </w:r>
      <w:proofErr w:type="spellEnd"/>
      <w:r w:rsidRPr="00594BCD">
        <w:rPr>
          <w:rFonts w:eastAsia="Lucida Sans Unicode"/>
          <w:b/>
          <w:kern w:val="1"/>
          <w:lang w:eastAsia="ar-SA"/>
        </w:rPr>
        <w:t xml:space="preserve">. </w:t>
      </w:r>
      <w:r w:rsidR="00794072">
        <w:rPr>
          <w:rFonts w:eastAsia="Lucida Sans Unicode"/>
          <w:b/>
          <w:kern w:val="1"/>
          <w:lang w:eastAsia="ar-SA"/>
        </w:rPr>
        <w:t>W roku 20</w:t>
      </w:r>
      <w:r w:rsidR="001E6A69">
        <w:rPr>
          <w:rFonts w:eastAsia="Lucida Sans Unicode"/>
          <w:b/>
          <w:kern w:val="1"/>
          <w:lang w:eastAsia="ar-SA"/>
        </w:rPr>
        <w:t>20</w:t>
      </w:r>
      <w:r w:rsidR="00794072">
        <w:rPr>
          <w:rFonts w:eastAsia="Lucida Sans Unicode"/>
          <w:b/>
          <w:kern w:val="1"/>
          <w:lang w:eastAsia="ar-SA"/>
        </w:rPr>
        <w:t xml:space="preserve"> </w:t>
      </w:r>
      <w:r w:rsidR="001E6A69">
        <w:rPr>
          <w:rFonts w:eastAsia="Lucida Sans Unicode"/>
          <w:b/>
          <w:kern w:val="1"/>
          <w:lang w:eastAsia="ar-SA"/>
        </w:rPr>
        <w:t xml:space="preserve">na etapie planowania nie </w:t>
      </w:r>
      <w:r w:rsidR="00770225">
        <w:rPr>
          <w:rFonts w:eastAsia="Lucida Sans Unicode"/>
          <w:b/>
          <w:kern w:val="1"/>
          <w:lang w:eastAsia="ar-SA"/>
        </w:rPr>
        <w:t>przewiduje się dochod</w:t>
      </w:r>
      <w:r w:rsidR="001E6A69">
        <w:rPr>
          <w:rFonts w:eastAsia="Lucida Sans Unicode"/>
          <w:b/>
          <w:kern w:val="1"/>
          <w:lang w:eastAsia="ar-SA"/>
        </w:rPr>
        <w:t>ów z tego tytułu.</w:t>
      </w:r>
      <w:r w:rsidR="00770225">
        <w:rPr>
          <w:rFonts w:eastAsia="Lucida Sans Unicode"/>
          <w:b/>
          <w:kern w:val="1"/>
          <w:lang w:eastAsia="ar-SA"/>
        </w:rPr>
        <w:t xml:space="preserve"> </w:t>
      </w:r>
    </w:p>
    <w:p w:rsidR="00794072" w:rsidRDefault="00794072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7522D6" w:rsidRDefault="007522D6" w:rsidP="004C08B2">
      <w:pPr>
        <w:widowControl w:val="0"/>
        <w:suppressAutoHyphens/>
        <w:ind w:right="-25"/>
        <w:jc w:val="center"/>
        <w:textAlignment w:val="baseline"/>
        <w:rPr>
          <w:rFonts w:eastAsia="Lucida Sans Unicode"/>
          <w:b/>
          <w:i/>
          <w:kern w:val="1"/>
          <w:lang w:eastAsia="ar-SA"/>
        </w:rPr>
      </w:pPr>
      <w:r w:rsidRPr="007522D6">
        <w:rPr>
          <w:rFonts w:eastAsia="Lucida Sans Unicode"/>
          <w:b/>
          <w:i/>
          <w:kern w:val="1"/>
          <w:lang w:eastAsia="ar-SA"/>
        </w:rPr>
        <w:t>Wpływy ze sprzedaży majątku</w:t>
      </w:r>
      <w:r w:rsidR="00D045CA">
        <w:rPr>
          <w:rFonts w:eastAsia="Lucida Sans Unicode"/>
          <w:b/>
          <w:i/>
          <w:kern w:val="1"/>
          <w:lang w:eastAsia="ar-SA"/>
        </w:rPr>
        <w:t>.</w:t>
      </w:r>
    </w:p>
    <w:p w:rsidR="00D045CA" w:rsidRPr="007522D6" w:rsidRDefault="00D045CA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i/>
          <w:kern w:val="1"/>
          <w:lang w:eastAsia="ar-SA"/>
        </w:rPr>
      </w:pPr>
    </w:p>
    <w:p w:rsidR="007522D6" w:rsidRPr="007522D6" w:rsidRDefault="007522D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7522D6">
        <w:rPr>
          <w:rFonts w:eastAsia="Lucida Sans Unicode"/>
          <w:kern w:val="1"/>
          <w:lang w:eastAsia="ar-SA"/>
        </w:rPr>
        <w:t>Dochody ze sprzedaży majątku są determinowane koniunkturą w gospodarce, w tym przede wszystkim na rynku nieruchomości. Obniżone tempo wzrostu gospodarczego w ostatnich latach negatywnie wpłynęło na sytuację na lokalnym rynku nieruchomości, co przedkłada się negatywnie na wielkość dochodów z tego tytułu. Dokonano oceny posiadanego  przez Gminę mienia komunalnego przeznaczonego na sprzedaż. W latach 20</w:t>
      </w:r>
      <w:r w:rsidR="00A44B43">
        <w:rPr>
          <w:rFonts w:eastAsia="Lucida Sans Unicode"/>
          <w:kern w:val="1"/>
          <w:lang w:eastAsia="ar-SA"/>
        </w:rPr>
        <w:t>20</w:t>
      </w:r>
      <w:r w:rsidRPr="007522D6">
        <w:rPr>
          <w:rFonts w:eastAsia="Lucida Sans Unicode"/>
          <w:kern w:val="1"/>
          <w:lang w:eastAsia="ar-SA"/>
        </w:rPr>
        <w:t xml:space="preserve"> </w:t>
      </w:r>
      <w:r>
        <w:rPr>
          <w:rFonts w:eastAsia="Lucida Sans Unicode"/>
          <w:kern w:val="1"/>
          <w:lang w:eastAsia="ar-SA"/>
        </w:rPr>
        <w:t>–</w:t>
      </w:r>
      <w:r w:rsidRPr="007522D6">
        <w:rPr>
          <w:rFonts w:eastAsia="Lucida Sans Unicode"/>
          <w:kern w:val="1"/>
          <w:lang w:eastAsia="ar-SA"/>
        </w:rPr>
        <w:t> </w:t>
      </w:r>
      <w:r>
        <w:rPr>
          <w:rFonts w:eastAsia="Lucida Sans Unicode"/>
          <w:kern w:val="1"/>
          <w:lang w:eastAsia="ar-SA"/>
        </w:rPr>
        <w:t>20</w:t>
      </w:r>
      <w:r w:rsidR="000F0ACC">
        <w:rPr>
          <w:rFonts w:eastAsia="Lucida Sans Unicode"/>
          <w:kern w:val="1"/>
          <w:lang w:eastAsia="ar-SA"/>
        </w:rPr>
        <w:t>3</w:t>
      </w:r>
      <w:r w:rsidR="00904AA4">
        <w:rPr>
          <w:rFonts w:eastAsia="Lucida Sans Unicode"/>
          <w:kern w:val="1"/>
          <w:lang w:eastAsia="ar-SA"/>
        </w:rPr>
        <w:t>0</w:t>
      </w:r>
      <w:r>
        <w:rPr>
          <w:rFonts w:eastAsia="Lucida Sans Unicode"/>
          <w:kern w:val="1"/>
          <w:lang w:eastAsia="ar-SA"/>
        </w:rPr>
        <w:t xml:space="preserve"> </w:t>
      </w:r>
      <w:r w:rsidRPr="007522D6">
        <w:rPr>
          <w:rFonts w:eastAsia="Lucida Sans Unicode"/>
          <w:kern w:val="1"/>
          <w:lang w:eastAsia="ar-SA"/>
        </w:rPr>
        <w:t>Gmina nadal będzie prowadziła działania w zakresie racjonalnego wykorzystania majątku w celu uzyskania jak najlepszych efektów ekonomicznych. Łączne wpływy w ramach tej grupy dochodów w poszczególnych latach zaprezentowano w poniżej tabeli:</w:t>
      </w:r>
    </w:p>
    <w:p w:rsidR="007522D6" w:rsidRPr="007522D6" w:rsidRDefault="007522D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tbl>
      <w:tblPr>
        <w:tblW w:w="7371" w:type="dxa"/>
        <w:jc w:val="center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5"/>
        <w:gridCol w:w="708"/>
        <w:gridCol w:w="709"/>
        <w:gridCol w:w="709"/>
        <w:gridCol w:w="595"/>
        <w:gridCol w:w="595"/>
        <w:gridCol w:w="595"/>
        <w:gridCol w:w="595"/>
        <w:gridCol w:w="595"/>
      </w:tblGrid>
      <w:tr w:rsidR="007522D6" w:rsidRPr="007522D6" w:rsidTr="00EC43FA">
        <w:trPr>
          <w:trHeight w:val="251"/>
          <w:jc w:val="center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7522D6">
              <w:rPr>
                <w:rFonts w:eastAsia="Lucida Sans Unicode"/>
                <w:b/>
                <w:kern w:val="1"/>
                <w:lang w:eastAsia="ar-SA"/>
              </w:rPr>
              <w:t>Wyszczególnienie</w:t>
            </w:r>
          </w:p>
        </w:tc>
        <w:tc>
          <w:tcPr>
            <w:tcW w:w="425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7522D6">
              <w:rPr>
                <w:rFonts w:eastAsia="Lucida Sans Unicode"/>
                <w:b/>
                <w:kern w:val="1"/>
                <w:lang w:eastAsia="ar-SA"/>
              </w:rPr>
              <w:t>Kwota w latach</w:t>
            </w:r>
          </w:p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</w:tc>
      </w:tr>
      <w:tr w:rsidR="007522D6" w:rsidRPr="007522D6" w:rsidTr="007522D6">
        <w:trPr>
          <w:trHeight w:val="251"/>
          <w:jc w:val="center"/>
        </w:trPr>
        <w:tc>
          <w:tcPr>
            <w:tcW w:w="3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7522D6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7522D6"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7522D6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7522D6"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1179CA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1F36E2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7522D6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7522D6"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794072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3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7522D6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CF4145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4</w:t>
            </w:r>
          </w:p>
        </w:tc>
        <w:tc>
          <w:tcPr>
            <w:tcW w:w="1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7522D6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6F5E2A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5</w:t>
            </w:r>
          </w:p>
        </w:tc>
        <w:tc>
          <w:tcPr>
            <w:tcW w:w="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7522D6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6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7522D6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7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2D6" w:rsidRPr="007522D6" w:rsidRDefault="007522D6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8</w:t>
            </w:r>
          </w:p>
        </w:tc>
      </w:tr>
      <w:tr w:rsidR="007522D6" w:rsidRPr="007522D6" w:rsidTr="007522D6">
        <w:trPr>
          <w:trHeight w:val="261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7522D6">
              <w:rPr>
                <w:rFonts w:eastAsia="Lucida Sans Unicode"/>
                <w:b/>
                <w:kern w:val="1"/>
                <w:lang w:eastAsia="ar-SA"/>
              </w:rPr>
              <w:t>Wpływy ze sprzedaży majątku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1</w:t>
            </w:r>
            <w:r w:rsidR="001179CA"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</w:t>
            </w:r>
            <w:r w:rsidR="001F36E2"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79407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6F5E2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</w:t>
            </w:r>
            <w:r w:rsidR="007522D6"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2D6" w:rsidRPr="007522D6" w:rsidRDefault="007522D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</w:tr>
    </w:tbl>
    <w:p w:rsidR="007522D6" w:rsidRPr="007522D6" w:rsidRDefault="007522D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i/>
          <w:kern w:val="1"/>
          <w:lang w:eastAsia="ar-SA"/>
        </w:rPr>
      </w:pPr>
    </w:p>
    <w:tbl>
      <w:tblPr>
        <w:tblW w:w="1985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</w:tblGrid>
      <w:tr w:rsidR="00A44B43" w:rsidRPr="007522D6" w:rsidTr="00A44B43">
        <w:trPr>
          <w:trHeight w:val="251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A44B43" w:rsidRPr="007522D6" w:rsidRDefault="00A44B43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B43" w:rsidRPr="007522D6" w:rsidRDefault="00A44B43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2030</w:t>
            </w:r>
          </w:p>
        </w:tc>
      </w:tr>
      <w:tr w:rsidR="00A44B43" w:rsidRPr="007522D6" w:rsidTr="00A44B43">
        <w:trPr>
          <w:trHeight w:val="261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A44B43" w:rsidRPr="007522D6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B43" w:rsidRPr="007522D6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50.000</w:t>
            </w:r>
          </w:p>
        </w:tc>
      </w:tr>
    </w:tbl>
    <w:p w:rsidR="00794072" w:rsidRDefault="00794072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794072" w:rsidRDefault="00794072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7522D6" w:rsidRPr="007522D6" w:rsidRDefault="007522D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i/>
          <w:kern w:val="1"/>
          <w:lang w:eastAsia="ar-SA"/>
        </w:rPr>
      </w:pPr>
      <w:r w:rsidRPr="007522D6">
        <w:rPr>
          <w:rFonts w:eastAsia="Lucida Sans Unicode"/>
          <w:kern w:val="1"/>
          <w:lang w:eastAsia="ar-SA"/>
        </w:rPr>
        <w:t>W latach 20</w:t>
      </w:r>
      <w:r w:rsidR="00A44B43">
        <w:rPr>
          <w:rFonts w:eastAsia="Lucida Sans Unicode"/>
          <w:kern w:val="1"/>
          <w:lang w:eastAsia="ar-SA"/>
        </w:rPr>
        <w:t>20</w:t>
      </w:r>
      <w:r w:rsidRPr="007522D6">
        <w:rPr>
          <w:rFonts w:eastAsia="Lucida Sans Unicode"/>
          <w:kern w:val="1"/>
          <w:lang w:eastAsia="ar-SA"/>
        </w:rPr>
        <w:t>-</w:t>
      </w:r>
      <w:r>
        <w:rPr>
          <w:rFonts w:eastAsia="Lucida Sans Unicode"/>
          <w:kern w:val="1"/>
          <w:lang w:eastAsia="ar-SA"/>
        </w:rPr>
        <w:t>20</w:t>
      </w:r>
      <w:r w:rsidR="00794072">
        <w:rPr>
          <w:rFonts w:eastAsia="Lucida Sans Unicode"/>
          <w:kern w:val="1"/>
          <w:lang w:eastAsia="ar-SA"/>
        </w:rPr>
        <w:t>3</w:t>
      </w:r>
      <w:r w:rsidR="00904AA4">
        <w:rPr>
          <w:rFonts w:eastAsia="Lucida Sans Unicode"/>
          <w:kern w:val="1"/>
          <w:lang w:eastAsia="ar-SA"/>
        </w:rPr>
        <w:t>0</w:t>
      </w:r>
      <w:r w:rsidRPr="007522D6">
        <w:rPr>
          <w:rFonts w:eastAsia="Lucida Sans Unicode"/>
          <w:b/>
          <w:kern w:val="1"/>
          <w:lang w:eastAsia="ar-SA"/>
        </w:rPr>
        <w:t xml:space="preserve"> dochody majątkowe </w:t>
      </w:r>
      <w:r w:rsidRPr="007522D6">
        <w:rPr>
          <w:rFonts w:eastAsia="Lucida Sans Unicode"/>
          <w:kern w:val="1"/>
          <w:lang w:eastAsia="ar-SA"/>
        </w:rPr>
        <w:t>zaplanowano ze sprzeda</w:t>
      </w:r>
      <w:r>
        <w:rPr>
          <w:rFonts w:eastAsia="Lucida Sans Unicode"/>
          <w:kern w:val="1"/>
          <w:lang w:eastAsia="ar-SA"/>
        </w:rPr>
        <w:t xml:space="preserve">ży nieruchomości. Gmina planuje dokonać sprzedaży działek . </w:t>
      </w:r>
    </w:p>
    <w:p w:rsidR="00126BE0" w:rsidRDefault="00126BE0" w:rsidP="004C08B2">
      <w:pPr>
        <w:jc w:val="both"/>
      </w:pPr>
    </w:p>
    <w:p w:rsidR="00126BE0" w:rsidRPr="00126BE0" w:rsidRDefault="00126BE0" w:rsidP="004C08B2">
      <w:pPr>
        <w:jc w:val="both"/>
      </w:pPr>
    </w:p>
    <w:p w:rsidR="00126BE0" w:rsidRPr="00126BE0" w:rsidRDefault="00126BE0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126BE0">
        <w:rPr>
          <w:rFonts w:eastAsia="Lucida Sans Unicode"/>
          <w:kern w:val="1"/>
          <w:lang w:eastAsia="ar-SA"/>
        </w:rPr>
        <w:t>Łączne planowane wpływy w ramach tej grupy dochodów w poszczególnych latach zaprezentowano w tabeli poniżej:</w:t>
      </w:r>
    </w:p>
    <w:p w:rsidR="00126BE0" w:rsidRPr="00126BE0" w:rsidRDefault="00126BE0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tbl>
      <w:tblPr>
        <w:tblW w:w="8085" w:type="dxa"/>
        <w:jc w:val="center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2"/>
        <w:gridCol w:w="712"/>
        <w:gridCol w:w="567"/>
        <w:gridCol w:w="567"/>
        <w:gridCol w:w="567"/>
        <w:gridCol w:w="567"/>
        <w:gridCol w:w="567"/>
        <w:gridCol w:w="1166"/>
      </w:tblGrid>
      <w:tr w:rsidR="00A44B43" w:rsidRPr="00707E71" w:rsidTr="00A44B43">
        <w:trPr>
          <w:gridAfter w:val="7"/>
          <w:wAfter w:w="4713" w:type="dxa"/>
          <w:trHeight w:val="251"/>
          <w:jc w:val="center"/>
        </w:trPr>
        <w:tc>
          <w:tcPr>
            <w:tcW w:w="3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Wyszczególnienie</w:t>
            </w:r>
          </w:p>
        </w:tc>
      </w:tr>
      <w:tr w:rsidR="00A44B43" w:rsidRPr="00707E71" w:rsidTr="00A44B43">
        <w:trPr>
          <w:trHeight w:val="251"/>
          <w:jc w:val="center"/>
        </w:trPr>
        <w:tc>
          <w:tcPr>
            <w:tcW w:w="3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1179CA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20</w:t>
            </w:r>
            <w:r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1179CA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20</w:t>
            </w:r>
            <w:r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1179CA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20</w:t>
            </w:r>
            <w:r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1179CA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20</w:t>
            </w:r>
            <w:r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1179CA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202</w:t>
            </w:r>
            <w:r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1179CA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202</w:t>
            </w:r>
            <w:r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1179CA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202</w:t>
            </w:r>
            <w:r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6</w:t>
            </w:r>
          </w:p>
        </w:tc>
      </w:tr>
      <w:tr w:rsidR="00A44B43" w:rsidRPr="00707E71" w:rsidTr="00A44B43">
        <w:trPr>
          <w:trHeight w:val="546"/>
          <w:jc w:val="center"/>
        </w:trPr>
        <w:tc>
          <w:tcPr>
            <w:tcW w:w="337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Dotacje celowe na zadania inwestycyjne</w:t>
            </w:r>
          </w:p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w tym:</w:t>
            </w:r>
          </w:p>
        </w:tc>
        <w:tc>
          <w:tcPr>
            <w:tcW w:w="7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</w:tr>
      <w:tr w:rsidR="00A44B43" w:rsidRPr="00707E71" w:rsidTr="00A44B43">
        <w:trPr>
          <w:trHeight w:val="53"/>
          <w:jc w:val="center"/>
        </w:trPr>
        <w:tc>
          <w:tcPr>
            <w:tcW w:w="3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 xml:space="preserve">Dotacje celowe z UE na przedsięwzięcia finansowane z udziałem środków, o których mowa w art.5 ust.1 pkt 2 i 3 </w:t>
            </w:r>
            <w:proofErr w:type="spellStart"/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u.f.p</w:t>
            </w:r>
            <w:proofErr w:type="spellEnd"/>
            <w:r w:rsidRPr="00707E71">
              <w:rPr>
                <w:rFonts w:eastAsia="Lucida Sans Unicode"/>
                <w:b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43" w:rsidRPr="00707E71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707E71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0</w:t>
            </w:r>
          </w:p>
        </w:tc>
      </w:tr>
    </w:tbl>
    <w:p w:rsidR="006F5E2A" w:rsidRDefault="006F5E2A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Gmina Przytyk </w:t>
      </w:r>
      <w:r w:rsidR="00A44B43">
        <w:rPr>
          <w:rFonts w:eastAsia="Lucida Sans Unicode"/>
          <w:kern w:val="1"/>
          <w:lang w:eastAsia="ar-SA"/>
        </w:rPr>
        <w:t xml:space="preserve">na etapie planowania nie przewiduje żadnych dochodów z UE, </w:t>
      </w:r>
      <w:r>
        <w:rPr>
          <w:rFonts w:eastAsia="Lucida Sans Unicode"/>
          <w:kern w:val="1"/>
          <w:lang w:eastAsia="ar-SA"/>
        </w:rPr>
        <w:t>w następnych latach będzie ubiegać się o środki z UE .</w:t>
      </w:r>
    </w:p>
    <w:p w:rsidR="006F5E2A" w:rsidRDefault="006F5E2A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F5706D" w:rsidRDefault="00F5706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126BE0" w:rsidRPr="00126BE0" w:rsidRDefault="00126BE0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126BE0">
        <w:rPr>
          <w:rFonts w:eastAsia="Lucida Sans Unicode"/>
          <w:kern w:val="1"/>
          <w:lang w:eastAsia="ar-SA"/>
        </w:rPr>
        <w:t>Biorąc pod uwagę powyższe ustalenia prognozowan</w:t>
      </w:r>
      <w:r w:rsidR="00CA081D">
        <w:rPr>
          <w:rFonts w:eastAsia="Lucida Sans Unicode"/>
          <w:kern w:val="1"/>
          <w:lang w:eastAsia="ar-SA"/>
        </w:rPr>
        <w:t xml:space="preserve">e </w:t>
      </w:r>
      <w:r w:rsidRPr="00126BE0">
        <w:rPr>
          <w:rFonts w:eastAsia="Lucida Sans Unicode"/>
          <w:kern w:val="1"/>
          <w:lang w:eastAsia="ar-SA"/>
        </w:rPr>
        <w:t>wpływ</w:t>
      </w:r>
      <w:r w:rsidR="00CA081D">
        <w:rPr>
          <w:rFonts w:eastAsia="Lucida Sans Unicode"/>
          <w:kern w:val="1"/>
          <w:lang w:eastAsia="ar-SA"/>
        </w:rPr>
        <w:t>y</w:t>
      </w:r>
      <w:r w:rsidRPr="00126BE0">
        <w:rPr>
          <w:rFonts w:eastAsia="Lucida Sans Unicode"/>
          <w:kern w:val="1"/>
          <w:lang w:eastAsia="ar-SA"/>
        </w:rPr>
        <w:t xml:space="preserve"> dochodów na lata 20</w:t>
      </w:r>
      <w:r w:rsidR="00A44B43">
        <w:rPr>
          <w:rFonts w:eastAsia="Lucida Sans Unicode"/>
          <w:kern w:val="1"/>
          <w:lang w:eastAsia="ar-SA"/>
        </w:rPr>
        <w:t>20</w:t>
      </w:r>
      <w:r w:rsidRPr="00126BE0">
        <w:rPr>
          <w:rFonts w:eastAsia="Lucida Sans Unicode"/>
          <w:kern w:val="1"/>
          <w:lang w:eastAsia="ar-SA"/>
        </w:rPr>
        <w:t>-20</w:t>
      </w:r>
      <w:r w:rsidR="000F0ACC">
        <w:rPr>
          <w:rFonts w:eastAsia="Lucida Sans Unicode"/>
          <w:kern w:val="1"/>
          <w:lang w:eastAsia="ar-SA"/>
        </w:rPr>
        <w:t>3</w:t>
      </w:r>
      <w:r w:rsidR="00A917F8">
        <w:rPr>
          <w:rFonts w:eastAsia="Lucida Sans Unicode"/>
          <w:kern w:val="1"/>
          <w:lang w:eastAsia="ar-SA"/>
        </w:rPr>
        <w:t>0</w:t>
      </w:r>
      <w:r w:rsidRPr="00126BE0">
        <w:rPr>
          <w:rFonts w:eastAsia="Lucida Sans Unicode"/>
          <w:kern w:val="1"/>
          <w:lang w:eastAsia="ar-SA"/>
        </w:rPr>
        <w:t xml:space="preserve"> przedstawia</w:t>
      </w:r>
      <w:r w:rsidR="00CA081D">
        <w:rPr>
          <w:rFonts w:eastAsia="Lucida Sans Unicode"/>
          <w:kern w:val="1"/>
          <w:lang w:eastAsia="ar-SA"/>
        </w:rPr>
        <w:t>ją</w:t>
      </w:r>
      <w:r w:rsidRPr="00126BE0">
        <w:rPr>
          <w:rFonts w:eastAsia="Lucida Sans Unicode"/>
          <w:kern w:val="1"/>
          <w:lang w:eastAsia="ar-SA"/>
        </w:rPr>
        <w:t xml:space="preserve"> się następująco: </w:t>
      </w:r>
    </w:p>
    <w:p w:rsidR="00126BE0" w:rsidRPr="00126BE0" w:rsidRDefault="00126BE0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tbl>
      <w:tblPr>
        <w:tblW w:w="7741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906"/>
        <w:gridCol w:w="5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126BE0" w:rsidRPr="00126BE0" w:rsidTr="00126BE0">
        <w:trPr>
          <w:trHeight w:val="539"/>
          <w:jc w:val="center"/>
        </w:trPr>
        <w:tc>
          <w:tcPr>
            <w:tcW w:w="586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 xml:space="preserve"> L.P.</w:t>
            </w:r>
          </w:p>
        </w:tc>
        <w:tc>
          <w:tcPr>
            <w:tcW w:w="2083" w:type="dxa"/>
          </w:tcPr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 xml:space="preserve">Wyszczególnienie </w:t>
            </w:r>
          </w:p>
        </w:tc>
        <w:tc>
          <w:tcPr>
            <w:tcW w:w="562" w:type="dxa"/>
          </w:tcPr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>J.m.</w:t>
            </w:r>
          </w:p>
        </w:tc>
        <w:tc>
          <w:tcPr>
            <w:tcW w:w="821" w:type="dxa"/>
          </w:tcPr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A44B43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20</w:t>
            </w:r>
          </w:p>
        </w:tc>
        <w:tc>
          <w:tcPr>
            <w:tcW w:w="740" w:type="dxa"/>
          </w:tcPr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A44B43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1179CA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1</w:t>
            </w:r>
          </w:p>
        </w:tc>
        <w:tc>
          <w:tcPr>
            <w:tcW w:w="659" w:type="dxa"/>
          </w:tcPr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6F5E2A" w:rsidP="00A44B43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1F36E2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2</w:t>
            </w:r>
          </w:p>
        </w:tc>
        <w:tc>
          <w:tcPr>
            <w:tcW w:w="740" w:type="dxa"/>
          </w:tcPr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</w:p>
          <w:p w:rsidR="00126BE0" w:rsidRPr="00126BE0" w:rsidRDefault="00126BE0" w:rsidP="00A44B43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5F2184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3</w:t>
            </w:r>
          </w:p>
        </w:tc>
        <w:tc>
          <w:tcPr>
            <w:tcW w:w="300" w:type="dxa"/>
          </w:tcPr>
          <w:p w:rsidR="00126BE0" w:rsidRPr="00126BE0" w:rsidRDefault="00126BE0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CF4145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4</w:t>
            </w:r>
          </w:p>
        </w:tc>
        <w:tc>
          <w:tcPr>
            <w:tcW w:w="295" w:type="dxa"/>
          </w:tcPr>
          <w:p w:rsid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</w:t>
            </w:r>
            <w:r w:rsidR="006F5E2A">
              <w:rPr>
                <w:rFonts w:eastAsia="Lucida Sans Unicode"/>
                <w:b/>
                <w:kern w:val="1"/>
                <w:lang w:eastAsia="ar-SA"/>
              </w:rPr>
              <w:t>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5</w:t>
            </w:r>
          </w:p>
        </w:tc>
        <w:tc>
          <w:tcPr>
            <w:tcW w:w="245" w:type="dxa"/>
          </w:tcPr>
          <w:p w:rsid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6</w:t>
            </w:r>
          </w:p>
        </w:tc>
        <w:tc>
          <w:tcPr>
            <w:tcW w:w="217" w:type="dxa"/>
          </w:tcPr>
          <w:p w:rsid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7</w:t>
            </w:r>
          </w:p>
        </w:tc>
        <w:tc>
          <w:tcPr>
            <w:tcW w:w="493" w:type="dxa"/>
          </w:tcPr>
          <w:p w:rsid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126BE0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</w:t>
            </w:r>
            <w:r w:rsidR="00A44B43">
              <w:rPr>
                <w:rFonts w:eastAsia="Lucida Sans Unicode"/>
                <w:b/>
                <w:kern w:val="1"/>
                <w:lang w:eastAsia="ar-SA"/>
              </w:rPr>
              <w:t>8</w:t>
            </w:r>
          </w:p>
        </w:tc>
      </w:tr>
      <w:tr w:rsidR="00126BE0" w:rsidRPr="00126BE0" w:rsidTr="00126BE0">
        <w:trPr>
          <w:trHeight w:val="386"/>
          <w:jc w:val="center"/>
        </w:trPr>
        <w:tc>
          <w:tcPr>
            <w:tcW w:w="586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>1.</w:t>
            </w:r>
          </w:p>
        </w:tc>
        <w:tc>
          <w:tcPr>
            <w:tcW w:w="2083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 xml:space="preserve">Dochody  ogółem, </w:t>
            </w:r>
          </w:p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 xml:space="preserve"> z tego:</w:t>
            </w:r>
          </w:p>
        </w:tc>
        <w:tc>
          <w:tcPr>
            <w:tcW w:w="562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zł</w:t>
            </w:r>
          </w:p>
        </w:tc>
        <w:tc>
          <w:tcPr>
            <w:tcW w:w="821" w:type="dxa"/>
          </w:tcPr>
          <w:p w:rsidR="0022312E" w:rsidRPr="00126BE0" w:rsidRDefault="00A44B43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</w:t>
            </w:r>
            <w:r w:rsidR="00672544"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5.3</w:t>
            </w: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48.028</w:t>
            </w:r>
          </w:p>
        </w:tc>
        <w:tc>
          <w:tcPr>
            <w:tcW w:w="740" w:type="dxa"/>
          </w:tcPr>
          <w:p w:rsidR="00126BE0" w:rsidRPr="00126BE0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35.270.000</w:t>
            </w:r>
          </w:p>
        </w:tc>
        <w:tc>
          <w:tcPr>
            <w:tcW w:w="659" w:type="dxa"/>
          </w:tcPr>
          <w:p w:rsidR="00126BE0" w:rsidRPr="00126BE0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35.588.000</w:t>
            </w:r>
          </w:p>
        </w:tc>
        <w:tc>
          <w:tcPr>
            <w:tcW w:w="740" w:type="dxa"/>
          </w:tcPr>
          <w:p w:rsidR="00126BE0" w:rsidRPr="00126BE0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35.805.400</w:t>
            </w:r>
          </w:p>
        </w:tc>
        <w:tc>
          <w:tcPr>
            <w:tcW w:w="300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36.583.000</w:t>
            </w:r>
          </w:p>
        </w:tc>
        <w:tc>
          <w:tcPr>
            <w:tcW w:w="295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37.542.000</w:t>
            </w:r>
          </w:p>
        </w:tc>
        <w:tc>
          <w:tcPr>
            <w:tcW w:w="245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38.542.000</w:t>
            </w:r>
          </w:p>
        </w:tc>
        <w:tc>
          <w:tcPr>
            <w:tcW w:w="217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39.612.000</w:t>
            </w:r>
          </w:p>
        </w:tc>
        <w:tc>
          <w:tcPr>
            <w:tcW w:w="493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40.710.000</w:t>
            </w:r>
          </w:p>
        </w:tc>
      </w:tr>
      <w:tr w:rsidR="00126BE0" w:rsidRPr="00126BE0" w:rsidTr="00126BE0">
        <w:trPr>
          <w:trHeight w:val="332"/>
          <w:jc w:val="center"/>
        </w:trPr>
        <w:tc>
          <w:tcPr>
            <w:tcW w:w="586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>1.1</w:t>
            </w:r>
          </w:p>
        </w:tc>
        <w:tc>
          <w:tcPr>
            <w:tcW w:w="2083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Dochody  bieżące,</w:t>
            </w:r>
          </w:p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62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126BE0" w:rsidRPr="00126BE0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zł</w:t>
            </w:r>
          </w:p>
        </w:tc>
        <w:tc>
          <w:tcPr>
            <w:tcW w:w="821" w:type="dxa"/>
          </w:tcPr>
          <w:p w:rsidR="00126BE0" w:rsidRPr="00126BE0" w:rsidRDefault="007902F4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</w:t>
            </w:r>
            <w:r w:rsidR="00672544"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5.1</w:t>
            </w: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98.028</w:t>
            </w:r>
          </w:p>
        </w:tc>
        <w:tc>
          <w:tcPr>
            <w:tcW w:w="740" w:type="dxa"/>
          </w:tcPr>
          <w:p w:rsidR="00126BE0" w:rsidRPr="00126BE0" w:rsidRDefault="007902F4" w:rsidP="00F92B7A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35.220.000</w:t>
            </w:r>
          </w:p>
        </w:tc>
        <w:tc>
          <w:tcPr>
            <w:tcW w:w="659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35.538.000</w:t>
            </w:r>
          </w:p>
        </w:tc>
        <w:tc>
          <w:tcPr>
            <w:tcW w:w="740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35.755.400</w:t>
            </w:r>
          </w:p>
        </w:tc>
        <w:tc>
          <w:tcPr>
            <w:tcW w:w="300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36.533.000</w:t>
            </w:r>
          </w:p>
        </w:tc>
        <w:tc>
          <w:tcPr>
            <w:tcW w:w="295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37.492.000</w:t>
            </w:r>
          </w:p>
        </w:tc>
        <w:tc>
          <w:tcPr>
            <w:tcW w:w="245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38.492.000</w:t>
            </w:r>
          </w:p>
        </w:tc>
        <w:tc>
          <w:tcPr>
            <w:tcW w:w="217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39.562.000</w:t>
            </w:r>
          </w:p>
        </w:tc>
        <w:tc>
          <w:tcPr>
            <w:tcW w:w="493" w:type="dxa"/>
          </w:tcPr>
          <w:p w:rsidR="00126BE0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40.660.000</w:t>
            </w:r>
          </w:p>
        </w:tc>
      </w:tr>
      <w:tr w:rsidR="00126BE0" w:rsidRPr="00126BE0" w:rsidTr="00126BE0">
        <w:trPr>
          <w:trHeight w:val="332"/>
          <w:jc w:val="center"/>
        </w:trPr>
        <w:tc>
          <w:tcPr>
            <w:tcW w:w="586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lang w:eastAsia="ar-SA"/>
              </w:rPr>
              <w:t>1.2</w:t>
            </w:r>
          </w:p>
        </w:tc>
        <w:tc>
          <w:tcPr>
            <w:tcW w:w="2083" w:type="dxa"/>
          </w:tcPr>
          <w:p w:rsidR="00126BE0" w:rsidRPr="00126BE0" w:rsidRDefault="00126BE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126BE0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Dochody majątkowe</w:t>
            </w:r>
          </w:p>
        </w:tc>
        <w:tc>
          <w:tcPr>
            <w:tcW w:w="562" w:type="dxa"/>
          </w:tcPr>
          <w:p w:rsidR="00126BE0" w:rsidRPr="00126BE0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zł</w:t>
            </w:r>
          </w:p>
        </w:tc>
        <w:tc>
          <w:tcPr>
            <w:tcW w:w="821" w:type="dxa"/>
          </w:tcPr>
          <w:p w:rsidR="00126BE0" w:rsidRPr="00126BE0" w:rsidRDefault="006C7BC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150.000</w:t>
            </w:r>
          </w:p>
        </w:tc>
        <w:tc>
          <w:tcPr>
            <w:tcW w:w="740" w:type="dxa"/>
          </w:tcPr>
          <w:p w:rsidR="00126BE0" w:rsidRPr="00126BE0" w:rsidRDefault="001179C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  <w:tc>
          <w:tcPr>
            <w:tcW w:w="659" w:type="dxa"/>
          </w:tcPr>
          <w:p w:rsidR="00126BE0" w:rsidRPr="00126BE0" w:rsidRDefault="001179C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  <w:tc>
          <w:tcPr>
            <w:tcW w:w="740" w:type="dxa"/>
          </w:tcPr>
          <w:p w:rsidR="00126BE0" w:rsidRPr="00126BE0" w:rsidRDefault="001179C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  <w:tc>
          <w:tcPr>
            <w:tcW w:w="300" w:type="dxa"/>
          </w:tcPr>
          <w:p w:rsidR="00126BE0" w:rsidRPr="00126BE0" w:rsidRDefault="001179C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  <w:tc>
          <w:tcPr>
            <w:tcW w:w="295" w:type="dxa"/>
          </w:tcPr>
          <w:p w:rsidR="00126BE0" w:rsidRPr="00126BE0" w:rsidRDefault="001179C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  <w:tc>
          <w:tcPr>
            <w:tcW w:w="245" w:type="dxa"/>
          </w:tcPr>
          <w:p w:rsidR="00126BE0" w:rsidRPr="00126BE0" w:rsidRDefault="001179C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  <w:tc>
          <w:tcPr>
            <w:tcW w:w="217" w:type="dxa"/>
          </w:tcPr>
          <w:p w:rsidR="00126BE0" w:rsidRPr="00126BE0" w:rsidRDefault="001179C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  <w:tc>
          <w:tcPr>
            <w:tcW w:w="493" w:type="dxa"/>
          </w:tcPr>
          <w:p w:rsidR="00126BE0" w:rsidRPr="00126BE0" w:rsidRDefault="001179C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</w:tr>
    </w:tbl>
    <w:p w:rsidR="00126BE0" w:rsidRPr="00126BE0" w:rsidRDefault="00126BE0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F5706D" w:rsidRDefault="00F5706D" w:rsidP="004C08B2">
      <w:pPr>
        <w:jc w:val="both"/>
      </w:pPr>
    </w:p>
    <w:p w:rsidR="005F2184" w:rsidRDefault="005F2184" w:rsidP="004C08B2">
      <w:pPr>
        <w:jc w:val="both"/>
      </w:pPr>
    </w:p>
    <w:tbl>
      <w:tblPr>
        <w:tblW w:w="2312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8"/>
        <w:gridCol w:w="1134"/>
      </w:tblGrid>
      <w:tr w:rsidR="00A44B43" w:rsidRPr="00126BE0" w:rsidTr="00A44B43">
        <w:trPr>
          <w:trHeight w:val="539"/>
          <w:jc w:val="center"/>
        </w:trPr>
        <w:tc>
          <w:tcPr>
            <w:tcW w:w="1178" w:type="dxa"/>
          </w:tcPr>
          <w:p w:rsidR="00A44B43" w:rsidRPr="00126BE0" w:rsidRDefault="00A44B43" w:rsidP="004C08B2">
            <w:pPr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A44B43" w:rsidRPr="00126BE0" w:rsidRDefault="00A44B43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2029</w:t>
            </w:r>
          </w:p>
        </w:tc>
        <w:tc>
          <w:tcPr>
            <w:tcW w:w="1134" w:type="dxa"/>
          </w:tcPr>
          <w:p w:rsidR="00A44B43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</w:p>
          <w:p w:rsidR="00A44B43" w:rsidRPr="00126BE0" w:rsidRDefault="00A44B43" w:rsidP="00A44B43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Lucida Sans Unicode"/>
                <w:b/>
                <w:kern w:val="1"/>
                <w:lang w:eastAsia="ar-SA"/>
              </w:rPr>
              <w:t>2030</w:t>
            </w:r>
          </w:p>
        </w:tc>
      </w:tr>
      <w:tr w:rsidR="00A44B43" w:rsidRPr="00126BE0" w:rsidTr="00A44B43">
        <w:trPr>
          <w:trHeight w:val="386"/>
          <w:jc w:val="center"/>
        </w:trPr>
        <w:tc>
          <w:tcPr>
            <w:tcW w:w="1178" w:type="dxa"/>
          </w:tcPr>
          <w:p w:rsidR="00A44B43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41.965.000</w:t>
            </w:r>
          </w:p>
        </w:tc>
        <w:tc>
          <w:tcPr>
            <w:tcW w:w="1134" w:type="dxa"/>
          </w:tcPr>
          <w:p w:rsidR="00A44B43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43.127.000</w:t>
            </w:r>
          </w:p>
        </w:tc>
      </w:tr>
      <w:tr w:rsidR="00A44B43" w:rsidRPr="00126BE0" w:rsidTr="00A44B43">
        <w:trPr>
          <w:trHeight w:val="332"/>
          <w:jc w:val="center"/>
        </w:trPr>
        <w:tc>
          <w:tcPr>
            <w:tcW w:w="1178" w:type="dxa"/>
          </w:tcPr>
          <w:p w:rsidR="00A44B43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41.915.000</w:t>
            </w:r>
          </w:p>
        </w:tc>
        <w:tc>
          <w:tcPr>
            <w:tcW w:w="1134" w:type="dxa"/>
          </w:tcPr>
          <w:p w:rsidR="00A44B43" w:rsidRPr="00126BE0" w:rsidRDefault="007902F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43.077.000</w:t>
            </w:r>
          </w:p>
        </w:tc>
      </w:tr>
      <w:tr w:rsidR="00A44B43" w:rsidRPr="00126BE0" w:rsidTr="00A44B43">
        <w:trPr>
          <w:trHeight w:val="332"/>
          <w:jc w:val="center"/>
        </w:trPr>
        <w:tc>
          <w:tcPr>
            <w:tcW w:w="1178" w:type="dxa"/>
          </w:tcPr>
          <w:p w:rsidR="00A44B43" w:rsidRPr="00126BE0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  <w:tc>
          <w:tcPr>
            <w:tcW w:w="1134" w:type="dxa"/>
          </w:tcPr>
          <w:p w:rsidR="00A44B43" w:rsidRPr="00126BE0" w:rsidRDefault="00A44B4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50.000</w:t>
            </w:r>
          </w:p>
        </w:tc>
      </w:tr>
    </w:tbl>
    <w:p w:rsidR="005F2184" w:rsidRDefault="005F2184" w:rsidP="004C08B2">
      <w:pPr>
        <w:jc w:val="both"/>
      </w:pPr>
    </w:p>
    <w:p w:rsidR="005F2184" w:rsidRDefault="005F2184" w:rsidP="004C08B2">
      <w:pPr>
        <w:jc w:val="both"/>
      </w:pPr>
    </w:p>
    <w:p w:rsidR="005F2184" w:rsidRDefault="005F2184" w:rsidP="004C08B2">
      <w:pPr>
        <w:jc w:val="both"/>
      </w:pPr>
    </w:p>
    <w:p w:rsidR="00707E71" w:rsidRDefault="00707E71" w:rsidP="004C08B2">
      <w:pPr>
        <w:jc w:val="both"/>
      </w:pPr>
      <w:r>
        <w:t>Dochody bieżące budżetu Gminy w 20</w:t>
      </w:r>
      <w:r w:rsidR="007902F4">
        <w:t>20</w:t>
      </w:r>
      <w:r>
        <w:t xml:space="preserve"> roku są </w:t>
      </w:r>
      <w:r w:rsidR="007902F4">
        <w:t>wyższe</w:t>
      </w:r>
      <w:r w:rsidR="005662DF">
        <w:t xml:space="preserve"> od dochodów w</w:t>
      </w:r>
      <w:r>
        <w:t xml:space="preserve"> 201</w:t>
      </w:r>
      <w:r w:rsidR="00CC61FC">
        <w:t>9</w:t>
      </w:r>
      <w:r>
        <w:t xml:space="preserve"> roku i jest to spowodowane </w:t>
      </w:r>
      <w:r w:rsidR="00CC61FC">
        <w:t>wyższą</w:t>
      </w:r>
      <w:r w:rsidR="006C6EAB">
        <w:t xml:space="preserve"> </w:t>
      </w:r>
      <w:r w:rsidR="005662DF">
        <w:t>kwotą</w:t>
      </w:r>
      <w:r>
        <w:t xml:space="preserve"> dotacji na zadania </w:t>
      </w:r>
      <w:r w:rsidR="00BA3296">
        <w:t>zlecone</w:t>
      </w:r>
      <w:r>
        <w:t xml:space="preserve"> zgodnie z otrzymaną informacją z Urzędu Wojewódzkiego</w:t>
      </w:r>
      <w:r w:rsidR="001C0CE1">
        <w:t xml:space="preserve"> </w:t>
      </w:r>
      <w:r>
        <w:t>. Od 20</w:t>
      </w:r>
      <w:r w:rsidR="006C6EAB">
        <w:t>2</w:t>
      </w:r>
      <w:r w:rsidR="00CC61FC">
        <w:t>1</w:t>
      </w:r>
      <w:r>
        <w:t xml:space="preserve"> do 20</w:t>
      </w:r>
      <w:r w:rsidR="00BA3296">
        <w:t>3</w:t>
      </w:r>
      <w:r w:rsidR="00904AA4">
        <w:t>0</w:t>
      </w:r>
      <w:r>
        <w:t xml:space="preserve"> dochody kształtują się </w:t>
      </w:r>
      <w:r w:rsidR="0022312E">
        <w:t>z</w:t>
      </w:r>
      <w:r w:rsidR="006C6EAB">
        <w:t xml:space="preserve"> niewielkim</w:t>
      </w:r>
      <w:r w:rsidR="0022312E">
        <w:t xml:space="preserve"> wzrostem.</w:t>
      </w:r>
    </w:p>
    <w:p w:rsidR="00F5706D" w:rsidRDefault="00F5706D" w:rsidP="004C08B2">
      <w:pPr>
        <w:jc w:val="both"/>
      </w:pPr>
    </w:p>
    <w:p w:rsidR="0022312E" w:rsidRPr="00DF03A2" w:rsidRDefault="0022312E" w:rsidP="0022312E">
      <w:pPr>
        <w:spacing w:line="360" w:lineRule="auto"/>
        <w:jc w:val="both"/>
      </w:pPr>
      <w:r w:rsidRPr="00DF03A2">
        <w:t>Wartości wskaźników inflacji i PKB realnego dla lat 20</w:t>
      </w:r>
      <w:r w:rsidR="00CC61FC">
        <w:t>20</w:t>
      </w:r>
      <w:r w:rsidRPr="00DF03A2">
        <w:t>-203</w:t>
      </w:r>
      <w:r w:rsidR="00904AA4">
        <w:t>0</w:t>
      </w:r>
      <w:r w:rsidRPr="00DF03A2">
        <w:t xml:space="preserve"> zostały zaczerpnięte z dokumentu Wytyczne dotyczące założeń makroekonomicznych na potrzeby wieloletnich prognoz finansowych jednostek samorządu terytorialnego. </w:t>
      </w:r>
    </w:p>
    <w:p w:rsidR="00F5706D" w:rsidRDefault="00F5706D" w:rsidP="004C08B2">
      <w:pPr>
        <w:jc w:val="both"/>
      </w:pPr>
    </w:p>
    <w:p w:rsidR="00F5706D" w:rsidRDefault="00F5706D" w:rsidP="004C08B2">
      <w:pPr>
        <w:jc w:val="both"/>
      </w:pPr>
    </w:p>
    <w:p w:rsidR="00F5706D" w:rsidRDefault="00F5706D" w:rsidP="004C08B2">
      <w:pPr>
        <w:jc w:val="both"/>
      </w:pPr>
    </w:p>
    <w:p w:rsidR="00F5706D" w:rsidRDefault="00F5706D" w:rsidP="004C08B2">
      <w:pPr>
        <w:jc w:val="both"/>
      </w:pPr>
    </w:p>
    <w:p w:rsidR="00CA081D" w:rsidRPr="00D045CA" w:rsidRDefault="00D045CA" w:rsidP="004C08B2">
      <w:pPr>
        <w:widowControl w:val="0"/>
        <w:suppressAutoHyphens/>
        <w:autoSpaceDE w:val="0"/>
        <w:autoSpaceDN w:val="0"/>
        <w:adjustRightInd w:val="0"/>
        <w:ind w:left="1287" w:right="-25"/>
        <w:contextualSpacing/>
        <w:jc w:val="center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  <w:r w:rsidRPr="00D045CA">
        <w:rPr>
          <w:rFonts w:eastAsia="Calibri"/>
          <w:b/>
          <w:kern w:val="1"/>
          <w:sz w:val="28"/>
          <w:szCs w:val="28"/>
          <w:lang w:eastAsia="ar-SA"/>
        </w:rPr>
        <w:t xml:space="preserve">II. </w:t>
      </w:r>
      <w:r w:rsidR="00CA081D" w:rsidRPr="00D045CA">
        <w:rPr>
          <w:rFonts w:eastAsia="Calibri"/>
          <w:b/>
          <w:kern w:val="1"/>
          <w:sz w:val="28"/>
          <w:szCs w:val="28"/>
          <w:lang w:eastAsia="ar-SA"/>
        </w:rPr>
        <w:t>PROGNOZOWANE  WYDATKI</w:t>
      </w:r>
    </w:p>
    <w:p w:rsidR="00CA081D" w:rsidRPr="00F543BB" w:rsidRDefault="00CA081D" w:rsidP="004C08B2">
      <w:pPr>
        <w:widowControl w:val="0"/>
        <w:suppressAutoHyphens/>
        <w:autoSpaceDE w:val="0"/>
        <w:autoSpaceDN w:val="0"/>
        <w:adjustRightInd w:val="0"/>
        <w:ind w:right="-25"/>
        <w:contextualSpacing/>
        <w:jc w:val="center"/>
        <w:textAlignment w:val="baseline"/>
        <w:rPr>
          <w:rFonts w:eastAsia="Lucida Sans Unicode"/>
          <w:kern w:val="1"/>
          <w:lang w:eastAsia="ar-SA"/>
        </w:rPr>
      </w:pPr>
    </w:p>
    <w:p w:rsidR="007830BA" w:rsidRPr="00F543BB" w:rsidRDefault="007830BA" w:rsidP="004C08B2">
      <w:pPr>
        <w:widowControl w:val="0"/>
        <w:suppressAutoHyphens/>
        <w:autoSpaceDE w:val="0"/>
        <w:autoSpaceDN w:val="0"/>
        <w:adjustRightInd w:val="0"/>
        <w:ind w:right="-25"/>
        <w:contextualSpacing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kern w:val="1"/>
          <w:lang w:eastAsia="ar-SA"/>
        </w:rPr>
        <w:t>Planując wydatki budżetu gminy na</w:t>
      </w:r>
      <w:r w:rsidR="003516A8">
        <w:rPr>
          <w:rFonts w:eastAsia="Lucida Sans Unicode"/>
          <w:kern w:val="1"/>
          <w:lang w:eastAsia="ar-SA"/>
        </w:rPr>
        <w:t xml:space="preserve"> </w:t>
      </w:r>
      <w:r w:rsidRPr="00F543BB">
        <w:rPr>
          <w:rFonts w:eastAsia="Lucida Sans Unicode"/>
          <w:kern w:val="1"/>
          <w:lang w:eastAsia="ar-SA"/>
        </w:rPr>
        <w:t>20</w:t>
      </w:r>
      <w:r w:rsidR="00337CA8">
        <w:rPr>
          <w:rFonts w:eastAsia="Lucida Sans Unicode"/>
          <w:kern w:val="1"/>
          <w:lang w:eastAsia="ar-SA"/>
        </w:rPr>
        <w:t>20</w:t>
      </w:r>
      <w:r w:rsidRPr="00F543BB">
        <w:rPr>
          <w:rFonts w:eastAsia="Lucida Sans Unicode"/>
          <w:kern w:val="1"/>
          <w:lang w:eastAsia="ar-SA"/>
        </w:rPr>
        <w:t xml:space="preserve"> rok jak również na lata przyszłe pod uwagę wzięto wskaźniki inflacji, stopień zatrudnienia( odprawy emerytalne, nagrody jubileuszowe) jak również zadania które są niezbędne do realizacji.</w:t>
      </w:r>
    </w:p>
    <w:p w:rsidR="007830BA" w:rsidRPr="00F543BB" w:rsidRDefault="007830BA" w:rsidP="004C08B2">
      <w:pPr>
        <w:widowControl w:val="0"/>
        <w:suppressAutoHyphens/>
        <w:autoSpaceDE w:val="0"/>
        <w:autoSpaceDN w:val="0"/>
        <w:adjustRightInd w:val="0"/>
        <w:ind w:right="-25"/>
        <w:contextualSpacing/>
        <w:jc w:val="both"/>
        <w:textAlignment w:val="baseline"/>
        <w:rPr>
          <w:rFonts w:eastAsia="Lucida Sans Unicode"/>
          <w:kern w:val="1"/>
          <w:lang w:eastAsia="ar-SA"/>
        </w:rPr>
      </w:pPr>
    </w:p>
    <w:p w:rsidR="00CA081D" w:rsidRPr="00F543BB" w:rsidRDefault="00CA081D" w:rsidP="004C08B2">
      <w:pPr>
        <w:widowControl w:val="0"/>
        <w:suppressAutoHyphens/>
        <w:autoSpaceDE w:val="0"/>
        <w:autoSpaceDN w:val="0"/>
        <w:adjustRightInd w:val="0"/>
        <w:ind w:right="-25"/>
        <w:contextualSpacing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kern w:val="1"/>
          <w:lang w:eastAsia="ar-SA"/>
        </w:rPr>
        <w:t xml:space="preserve"> Prognoza wydatków oparta została o przewidywane wykonanie 20</w:t>
      </w:r>
      <w:r w:rsidR="00337CA8">
        <w:rPr>
          <w:rFonts w:eastAsia="Lucida Sans Unicode"/>
          <w:kern w:val="1"/>
          <w:lang w:eastAsia="ar-SA"/>
        </w:rPr>
        <w:t>19</w:t>
      </w:r>
      <w:r w:rsidRPr="00F543BB">
        <w:rPr>
          <w:rFonts w:eastAsia="Lucida Sans Unicode"/>
          <w:kern w:val="1"/>
          <w:lang w:eastAsia="ar-SA"/>
        </w:rPr>
        <w:t xml:space="preserve"> r, które przedstawia się następująco:</w:t>
      </w:r>
    </w:p>
    <w:tbl>
      <w:tblPr>
        <w:tblW w:w="7500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2744"/>
        <w:gridCol w:w="567"/>
        <w:gridCol w:w="1843"/>
        <w:gridCol w:w="1843"/>
      </w:tblGrid>
      <w:tr w:rsidR="00CA081D" w:rsidRPr="00CA081D" w:rsidTr="00EC43FA">
        <w:trPr>
          <w:trHeight w:val="209"/>
          <w:jc w:val="center"/>
        </w:trPr>
        <w:tc>
          <w:tcPr>
            <w:tcW w:w="503" w:type="dxa"/>
            <w:vMerge w:val="restart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744" w:type="dxa"/>
            <w:vMerge w:val="restart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Treść</w:t>
            </w:r>
          </w:p>
        </w:tc>
        <w:tc>
          <w:tcPr>
            <w:tcW w:w="567" w:type="dxa"/>
            <w:vMerge w:val="restart"/>
          </w:tcPr>
          <w:p w:rsidR="00CA081D" w:rsidRPr="00CA081D" w:rsidRDefault="00CA081D" w:rsidP="004C08B2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CA081D" w:rsidRPr="00CA081D" w:rsidRDefault="00CA081D" w:rsidP="004C08B2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3686" w:type="dxa"/>
            <w:gridSpan w:val="2"/>
          </w:tcPr>
          <w:p w:rsidR="00CA081D" w:rsidRPr="00CA081D" w:rsidRDefault="00CA081D" w:rsidP="004C08B2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CA081D" w:rsidRPr="00CA081D" w:rsidTr="00EC43FA">
        <w:trPr>
          <w:trHeight w:val="235"/>
          <w:jc w:val="center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A081D" w:rsidRPr="00CA081D" w:rsidRDefault="00CA081D" w:rsidP="004C08B2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081D" w:rsidRPr="00CA081D" w:rsidRDefault="007830BA" w:rsidP="00337CA8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Przewidywane wykonanie za 201</w:t>
            </w:r>
            <w:r w:rsidR="00337CA8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9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 xml:space="preserve"> rok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081D" w:rsidRPr="00CA081D" w:rsidRDefault="007830BA" w:rsidP="00337CA8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Plan na 20</w:t>
            </w:r>
            <w:r w:rsidR="00337CA8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 xml:space="preserve"> rok</w:t>
            </w:r>
          </w:p>
        </w:tc>
      </w:tr>
      <w:tr w:rsidR="00CA081D" w:rsidRPr="00CA081D" w:rsidTr="00EC43FA">
        <w:trPr>
          <w:trHeight w:val="139"/>
          <w:jc w:val="center"/>
        </w:trPr>
        <w:tc>
          <w:tcPr>
            <w:tcW w:w="3247" w:type="dxa"/>
            <w:gridSpan w:val="2"/>
            <w:tcBorders>
              <w:top w:val="single" w:sz="4" w:space="0" w:color="auto"/>
            </w:tcBorders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Wydatki ogółem ,   z tego :</w:t>
            </w:r>
          </w:p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081D" w:rsidRPr="00CA081D" w:rsidRDefault="00337C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34.913.239,48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081D" w:rsidRPr="00CA081D" w:rsidRDefault="00337CA8" w:rsidP="008A2850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34.</w:t>
            </w:r>
            <w:r w:rsidR="008A2850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769</w:t>
            </w:r>
            <w:r w:rsidR="00A7199B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.978</w:t>
            </w: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,00</w:t>
            </w:r>
          </w:p>
        </w:tc>
      </w:tr>
      <w:tr w:rsidR="00CA081D" w:rsidRPr="00CA081D" w:rsidTr="00EC43FA">
        <w:trPr>
          <w:trHeight w:val="243"/>
          <w:jc w:val="center"/>
        </w:trPr>
        <w:tc>
          <w:tcPr>
            <w:tcW w:w="503" w:type="dxa"/>
            <w:tcBorders>
              <w:top w:val="single" w:sz="4" w:space="0" w:color="auto"/>
            </w:tcBorders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Wydatki bieżące,    z tego 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081D" w:rsidRPr="00CA081D" w:rsidRDefault="00337C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31.755.476,48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081D" w:rsidRPr="00CA081D" w:rsidRDefault="00337CA8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32.</w:t>
            </w:r>
            <w:r w:rsidR="00672544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4</w:t>
            </w: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39.428,00</w:t>
            </w:r>
          </w:p>
        </w:tc>
      </w:tr>
      <w:tr w:rsidR="00CA081D" w:rsidRPr="00CA081D" w:rsidTr="00EC43FA">
        <w:trPr>
          <w:trHeight w:val="53"/>
          <w:jc w:val="center"/>
        </w:trPr>
        <w:tc>
          <w:tcPr>
            <w:tcW w:w="503" w:type="dxa"/>
            <w:vMerge w:val="restart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44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Wynagrodzenia i  pochodne</w:t>
            </w:r>
          </w:p>
        </w:tc>
        <w:tc>
          <w:tcPr>
            <w:tcW w:w="567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843" w:type="dxa"/>
          </w:tcPr>
          <w:p w:rsidR="00CA081D" w:rsidRPr="00CA081D" w:rsidRDefault="00337C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11.378.632,59</w:t>
            </w:r>
          </w:p>
        </w:tc>
        <w:tc>
          <w:tcPr>
            <w:tcW w:w="1843" w:type="dxa"/>
          </w:tcPr>
          <w:p w:rsidR="00CA081D" w:rsidRPr="00CA081D" w:rsidRDefault="00337C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11.481.277,00</w:t>
            </w:r>
          </w:p>
        </w:tc>
      </w:tr>
      <w:tr w:rsidR="00CA081D" w:rsidRPr="00CA081D" w:rsidTr="00EC43FA">
        <w:trPr>
          <w:trHeight w:val="135"/>
          <w:jc w:val="center"/>
        </w:trPr>
        <w:tc>
          <w:tcPr>
            <w:tcW w:w="503" w:type="dxa"/>
            <w:vMerge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44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Dotacje</w:t>
            </w:r>
          </w:p>
        </w:tc>
        <w:tc>
          <w:tcPr>
            <w:tcW w:w="567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843" w:type="dxa"/>
          </w:tcPr>
          <w:p w:rsidR="00CA081D" w:rsidRPr="00CA081D" w:rsidRDefault="00337C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</w:tcPr>
          <w:p w:rsidR="00CA081D" w:rsidRPr="00CA081D" w:rsidRDefault="00D95AB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0,00</w:t>
            </w:r>
          </w:p>
        </w:tc>
      </w:tr>
      <w:tr w:rsidR="00CA081D" w:rsidRPr="00CA081D" w:rsidTr="00EC43FA">
        <w:trPr>
          <w:trHeight w:val="139"/>
          <w:jc w:val="center"/>
        </w:trPr>
        <w:tc>
          <w:tcPr>
            <w:tcW w:w="503" w:type="dxa"/>
            <w:vMerge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44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Obsługa długu</w:t>
            </w:r>
          </w:p>
        </w:tc>
        <w:tc>
          <w:tcPr>
            <w:tcW w:w="567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843" w:type="dxa"/>
          </w:tcPr>
          <w:p w:rsidR="00CA081D" w:rsidRPr="00CA081D" w:rsidRDefault="0022312E" w:rsidP="00337CA8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2</w:t>
            </w:r>
            <w:r w:rsidR="00337CA8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2</w:t>
            </w: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0.000,00</w:t>
            </w:r>
          </w:p>
        </w:tc>
        <w:tc>
          <w:tcPr>
            <w:tcW w:w="1843" w:type="dxa"/>
          </w:tcPr>
          <w:p w:rsidR="00CA081D" w:rsidRPr="00CA081D" w:rsidRDefault="003E03C2" w:rsidP="00337CA8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2</w:t>
            </w:r>
            <w:r w:rsidR="00337CA8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</w:t>
            </w: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0.000,00</w:t>
            </w:r>
          </w:p>
        </w:tc>
      </w:tr>
      <w:tr w:rsidR="00CA081D" w:rsidRPr="00CA081D" w:rsidTr="00EC43FA">
        <w:trPr>
          <w:trHeight w:val="139"/>
          <w:jc w:val="center"/>
        </w:trPr>
        <w:tc>
          <w:tcPr>
            <w:tcW w:w="503" w:type="dxa"/>
            <w:vMerge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44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Poręczenia i gwarancje</w:t>
            </w:r>
          </w:p>
        </w:tc>
        <w:tc>
          <w:tcPr>
            <w:tcW w:w="567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843" w:type="dxa"/>
          </w:tcPr>
          <w:p w:rsidR="00CA081D" w:rsidRPr="00CA081D" w:rsidRDefault="007830B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3" w:type="dxa"/>
          </w:tcPr>
          <w:p w:rsidR="00CA081D" w:rsidRPr="00CA081D" w:rsidRDefault="007830BA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0</w:t>
            </w:r>
          </w:p>
        </w:tc>
      </w:tr>
      <w:tr w:rsidR="00CA081D" w:rsidRPr="00CA081D" w:rsidTr="00EC43FA">
        <w:trPr>
          <w:trHeight w:val="172"/>
          <w:jc w:val="center"/>
        </w:trPr>
        <w:tc>
          <w:tcPr>
            <w:tcW w:w="503" w:type="dxa"/>
            <w:vMerge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44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Pozostałe wydatki bieżące</w:t>
            </w:r>
          </w:p>
        </w:tc>
        <w:tc>
          <w:tcPr>
            <w:tcW w:w="567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843" w:type="dxa"/>
          </w:tcPr>
          <w:p w:rsidR="00CA081D" w:rsidRPr="00CA081D" w:rsidRDefault="00337C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20.156.843,89</w:t>
            </w:r>
          </w:p>
        </w:tc>
        <w:tc>
          <w:tcPr>
            <w:tcW w:w="1843" w:type="dxa"/>
          </w:tcPr>
          <w:p w:rsidR="00CA081D" w:rsidRPr="00CA081D" w:rsidRDefault="00337C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20.348.151,00</w:t>
            </w:r>
          </w:p>
        </w:tc>
      </w:tr>
      <w:tr w:rsidR="00CA081D" w:rsidRPr="00CA081D" w:rsidTr="00EC43FA">
        <w:trPr>
          <w:trHeight w:val="127"/>
          <w:jc w:val="center"/>
        </w:trPr>
        <w:tc>
          <w:tcPr>
            <w:tcW w:w="503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744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Wydatki majątkowe</w:t>
            </w:r>
          </w:p>
        </w:tc>
        <w:tc>
          <w:tcPr>
            <w:tcW w:w="567" w:type="dxa"/>
          </w:tcPr>
          <w:p w:rsidR="00CA081D" w:rsidRPr="00CA081D" w:rsidRDefault="00CA081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843" w:type="dxa"/>
          </w:tcPr>
          <w:p w:rsidR="00CA081D" w:rsidRPr="00CA081D" w:rsidRDefault="00337C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3.157.763,00</w:t>
            </w:r>
          </w:p>
        </w:tc>
        <w:tc>
          <w:tcPr>
            <w:tcW w:w="1843" w:type="dxa"/>
          </w:tcPr>
          <w:p w:rsidR="00CA081D" w:rsidRPr="00CA081D" w:rsidRDefault="00337CA8" w:rsidP="008A2850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2.</w:t>
            </w:r>
            <w:r w:rsidR="008A2850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330</w:t>
            </w:r>
            <w:r w:rsidR="00A7199B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.550</w:t>
            </w: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,00</w:t>
            </w:r>
          </w:p>
        </w:tc>
      </w:tr>
    </w:tbl>
    <w:p w:rsidR="00CA081D" w:rsidRPr="00CA081D" w:rsidRDefault="00CA081D" w:rsidP="004C08B2">
      <w:pPr>
        <w:widowControl w:val="0"/>
        <w:suppressAutoHyphens/>
        <w:autoSpaceDE w:val="0"/>
        <w:autoSpaceDN w:val="0"/>
        <w:adjustRightInd w:val="0"/>
        <w:ind w:right="-25"/>
        <w:contextualSpacing/>
        <w:jc w:val="both"/>
        <w:textAlignment w:val="baseline"/>
        <w:rPr>
          <w:rFonts w:eastAsia="Calibri"/>
          <w:b/>
          <w:kern w:val="1"/>
          <w:sz w:val="14"/>
          <w:szCs w:val="14"/>
          <w:lang w:eastAsia="ar-SA"/>
        </w:rPr>
      </w:pPr>
    </w:p>
    <w:p w:rsidR="00CA081D" w:rsidRPr="00CA081D" w:rsidRDefault="00CA081D" w:rsidP="004C08B2">
      <w:pPr>
        <w:widowControl w:val="0"/>
        <w:suppressAutoHyphens/>
        <w:autoSpaceDE w:val="0"/>
        <w:autoSpaceDN w:val="0"/>
        <w:adjustRightInd w:val="0"/>
        <w:ind w:right="-25"/>
        <w:contextualSpacing/>
        <w:jc w:val="both"/>
        <w:textAlignment w:val="baseline"/>
        <w:rPr>
          <w:rFonts w:eastAsia="Calibri"/>
          <w:b/>
          <w:kern w:val="1"/>
          <w:sz w:val="14"/>
          <w:szCs w:val="14"/>
          <w:lang w:eastAsia="ar-SA"/>
        </w:rPr>
      </w:pPr>
    </w:p>
    <w:p w:rsidR="00CA081D" w:rsidRPr="00CA081D" w:rsidRDefault="00CA081D" w:rsidP="004C08B2">
      <w:pPr>
        <w:widowControl w:val="0"/>
        <w:suppressAutoHyphens/>
        <w:autoSpaceDE w:val="0"/>
        <w:autoSpaceDN w:val="0"/>
        <w:adjustRightInd w:val="0"/>
        <w:ind w:right="-25"/>
        <w:contextualSpacing/>
        <w:jc w:val="both"/>
        <w:textAlignment w:val="baseline"/>
        <w:rPr>
          <w:rFonts w:eastAsia="Calibri"/>
          <w:b/>
          <w:kern w:val="1"/>
          <w:sz w:val="14"/>
          <w:szCs w:val="14"/>
          <w:lang w:eastAsia="ar-SA"/>
        </w:rPr>
      </w:pPr>
    </w:p>
    <w:p w:rsidR="00CA081D" w:rsidRPr="00F543BB" w:rsidRDefault="00CA081D" w:rsidP="004C08B2">
      <w:pPr>
        <w:widowControl w:val="0"/>
        <w:tabs>
          <w:tab w:val="left" w:pos="709"/>
          <w:tab w:val="right" w:pos="907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kern w:val="1"/>
          <w:lang w:eastAsia="ar-SA"/>
        </w:rPr>
        <w:t xml:space="preserve">Wydatki kalkulowano przy uwzględnieniu możliwości dochodowych, jednak z uwzględnieniem analizy zadań bieżących koniecznych do realizacji oraz obligatoryjności wynikającej z przepisów obowiązującego prawa.  </w:t>
      </w:r>
    </w:p>
    <w:p w:rsidR="00875756" w:rsidRPr="00F543BB" w:rsidRDefault="00CA081D" w:rsidP="004C08B2">
      <w:pPr>
        <w:overflowPunct w:val="0"/>
        <w:autoSpaceDE w:val="0"/>
        <w:autoSpaceDN w:val="0"/>
        <w:adjustRightInd w:val="0"/>
        <w:ind w:right="-25"/>
        <w:jc w:val="both"/>
      </w:pPr>
      <w:r w:rsidRPr="00F543BB">
        <w:t xml:space="preserve">Prognozę oparto na założeniu określonym w art. 242, ust.2  ustawy o finansach publicznych , polegającym na zachowaniu relacji, iż planowane wydatki bieżące nie mogą przewyższać dochodów bieżących /ewentualnie powiększone o nadwyżkę budżetową z lat ubiegłych i wolne środki/. </w:t>
      </w:r>
    </w:p>
    <w:p w:rsidR="00CA081D" w:rsidRPr="00F543BB" w:rsidRDefault="00CA081D" w:rsidP="004C08B2">
      <w:pPr>
        <w:overflowPunct w:val="0"/>
        <w:autoSpaceDE w:val="0"/>
        <w:autoSpaceDN w:val="0"/>
        <w:adjustRightInd w:val="0"/>
        <w:ind w:right="-25"/>
        <w:jc w:val="both"/>
      </w:pPr>
      <w:r w:rsidRPr="00F543BB">
        <w:t xml:space="preserve">W związku z powyższym w </w:t>
      </w:r>
      <w:r w:rsidR="00875756" w:rsidRPr="00F543BB">
        <w:t>roku</w:t>
      </w:r>
      <w:r w:rsidRPr="00F543BB">
        <w:t xml:space="preserve"> 20</w:t>
      </w:r>
      <w:r w:rsidR="00337CA8">
        <w:t>20</w:t>
      </w:r>
      <w:r w:rsidRPr="00F543BB">
        <w:t xml:space="preserve"> założono ograniczenie fakultatywnych wydatków bieżących w celu wypracowania jak największej nadwyżki operacyjnej przeznaczonej na zadania inwestycyjne.</w:t>
      </w:r>
    </w:p>
    <w:p w:rsidR="00875756" w:rsidRPr="00F543BB" w:rsidRDefault="00875756" w:rsidP="004C08B2">
      <w:pPr>
        <w:overflowPunct w:val="0"/>
        <w:autoSpaceDE w:val="0"/>
        <w:autoSpaceDN w:val="0"/>
        <w:adjustRightInd w:val="0"/>
        <w:ind w:right="-25"/>
        <w:jc w:val="both"/>
      </w:pPr>
    </w:p>
    <w:p w:rsidR="00CA081D" w:rsidRPr="00F543BB" w:rsidRDefault="00CA081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kern w:val="1"/>
          <w:lang w:eastAsia="ar-SA"/>
        </w:rPr>
        <w:t>Na 20</w:t>
      </w:r>
      <w:r w:rsidR="00337CA8">
        <w:rPr>
          <w:rFonts w:eastAsia="Lucida Sans Unicode"/>
          <w:kern w:val="1"/>
          <w:lang w:eastAsia="ar-SA"/>
        </w:rPr>
        <w:t>20</w:t>
      </w:r>
      <w:r w:rsidRPr="00F543BB">
        <w:rPr>
          <w:rFonts w:eastAsia="Lucida Sans Unicode"/>
          <w:kern w:val="1"/>
          <w:lang w:eastAsia="ar-SA"/>
        </w:rPr>
        <w:t xml:space="preserve"> r  wydatki ogółem zaplanowano w kwocie</w:t>
      </w:r>
      <w:r w:rsidR="003E03C2">
        <w:rPr>
          <w:rFonts w:eastAsia="Lucida Sans Unicode"/>
          <w:kern w:val="1"/>
          <w:lang w:eastAsia="ar-SA"/>
        </w:rPr>
        <w:t xml:space="preserve"> </w:t>
      </w:r>
      <w:r w:rsidR="00337CA8">
        <w:rPr>
          <w:rFonts w:eastAsia="Lucida Sans Unicode"/>
          <w:kern w:val="1"/>
          <w:lang w:eastAsia="ar-SA"/>
        </w:rPr>
        <w:t>34.</w:t>
      </w:r>
      <w:r w:rsidR="008A2850">
        <w:rPr>
          <w:rFonts w:eastAsia="Lucida Sans Unicode"/>
          <w:kern w:val="1"/>
          <w:lang w:eastAsia="ar-SA"/>
        </w:rPr>
        <w:t>769</w:t>
      </w:r>
      <w:r w:rsidR="00A7199B">
        <w:rPr>
          <w:rFonts w:eastAsia="Lucida Sans Unicode"/>
          <w:kern w:val="1"/>
          <w:lang w:eastAsia="ar-SA"/>
        </w:rPr>
        <w:t>.978</w:t>
      </w:r>
      <w:r w:rsidR="003E03C2">
        <w:rPr>
          <w:rFonts w:eastAsia="Lucida Sans Unicode"/>
          <w:kern w:val="1"/>
          <w:lang w:eastAsia="ar-SA"/>
        </w:rPr>
        <w:t>,00</w:t>
      </w:r>
      <w:r w:rsidRPr="00F543BB">
        <w:rPr>
          <w:rFonts w:eastAsia="Lucida Sans Unicode"/>
          <w:kern w:val="1"/>
          <w:lang w:eastAsia="ar-SA"/>
        </w:rPr>
        <w:t xml:space="preserve">  zł, w tym  na bieżące </w:t>
      </w:r>
      <w:r w:rsidR="00337CA8">
        <w:rPr>
          <w:rFonts w:eastAsia="Lucida Sans Unicode"/>
          <w:kern w:val="1"/>
          <w:lang w:eastAsia="ar-SA"/>
        </w:rPr>
        <w:t>32.</w:t>
      </w:r>
      <w:r w:rsidR="00672544">
        <w:rPr>
          <w:rFonts w:eastAsia="Lucida Sans Unicode"/>
          <w:kern w:val="1"/>
          <w:lang w:eastAsia="ar-SA"/>
        </w:rPr>
        <w:t>4</w:t>
      </w:r>
      <w:r w:rsidR="00337CA8">
        <w:rPr>
          <w:rFonts w:eastAsia="Lucida Sans Unicode"/>
          <w:kern w:val="1"/>
          <w:lang w:eastAsia="ar-SA"/>
        </w:rPr>
        <w:t>39.428</w:t>
      </w:r>
      <w:r w:rsidR="00875756" w:rsidRPr="00F543BB">
        <w:rPr>
          <w:rFonts w:eastAsia="Lucida Sans Unicode"/>
          <w:kern w:val="1"/>
          <w:lang w:eastAsia="ar-SA"/>
        </w:rPr>
        <w:t xml:space="preserve">,00 </w:t>
      </w:r>
      <w:r w:rsidRPr="00F543BB">
        <w:rPr>
          <w:rFonts w:eastAsia="Lucida Sans Unicode"/>
          <w:kern w:val="1"/>
          <w:lang w:eastAsia="ar-SA"/>
        </w:rPr>
        <w:t xml:space="preserve">zł i majątkowe  </w:t>
      </w:r>
      <w:r w:rsidR="00337CA8">
        <w:rPr>
          <w:rFonts w:eastAsia="Lucida Sans Unicode"/>
          <w:kern w:val="1"/>
          <w:lang w:eastAsia="ar-SA"/>
        </w:rPr>
        <w:t>2.</w:t>
      </w:r>
      <w:r w:rsidR="008A2850">
        <w:rPr>
          <w:rFonts w:eastAsia="Lucida Sans Unicode"/>
          <w:kern w:val="1"/>
          <w:lang w:eastAsia="ar-SA"/>
        </w:rPr>
        <w:t>330</w:t>
      </w:r>
      <w:r w:rsidR="00A7199B">
        <w:rPr>
          <w:rFonts w:eastAsia="Lucida Sans Unicode"/>
          <w:kern w:val="1"/>
          <w:lang w:eastAsia="ar-SA"/>
        </w:rPr>
        <w:t>.550</w:t>
      </w:r>
      <w:r w:rsidR="00875756" w:rsidRPr="00F543BB">
        <w:rPr>
          <w:rFonts w:eastAsia="Lucida Sans Unicode"/>
          <w:kern w:val="1"/>
          <w:lang w:eastAsia="ar-SA"/>
        </w:rPr>
        <w:t>,00</w:t>
      </w:r>
      <w:r w:rsidRPr="00F543BB">
        <w:rPr>
          <w:rFonts w:eastAsia="Lucida Sans Unicode"/>
          <w:kern w:val="1"/>
          <w:lang w:eastAsia="ar-SA"/>
        </w:rPr>
        <w:t>zł.</w:t>
      </w:r>
    </w:p>
    <w:p w:rsidR="00875756" w:rsidRPr="00F543BB" w:rsidRDefault="00875756" w:rsidP="004C08B2">
      <w:pPr>
        <w:suppressAutoHyphens/>
        <w:ind w:right="-25"/>
        <w:jc w:val="both"/>
        <w:rPr>
          <w:rFonts w:eastAsia="Lucida Sans Unicode"/>
          <w:b/>
          <w:kern w:val="1"/>
          <w:lang w:eastAsia="ar-SA"/>
        </w:rPr>
      </w:pPr>
    </w:p>
    <w:p w:rsidR="00CA081D" w:rsidRPr="00F543BB" w:rsidRDefault="00CA081D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b/>
          <w:kern w:val="1"/>
          <w:lang w:eastAsia="ar-SA"/>
        </w:rPr>
        <w:t xml:space="preserve">Wydatki </w:t>
      </w:r>
      <w:r w:rsidRPr="00F543BB">
        <w:rPr>
          <w:rFonts w:eastAsia="Lucida Sans Unicode"/>
          <w:kern w:val="1"/>
          <w:lang w:eastAsia="ar-SA"/>
        </w:rPr>
        <w:t xml:space="preserve"> </w:t>
      </w:r>
      <w:r w:rsidRPr="00F543BB">
        <w:rPr>
          <w:rFonts w:eastAsia="Lucida Sans Unicode"/>
          <w:b/>
          <w:kern w:val="1"/>
          <w:lang w:eastAsia="ar-SA"/>
        </w:rPr>
        <w:t>na wynagrodzenia i pochodne od nich naliczane</w:t>
      </w:r>
      <w:r w:rsidRPr="00F543BB">
        <w:rPr>
          <w:rFonts w:eastAsia="Lucida Sans Unicode"/>
          <w:kern w:val="1"/>
          <w:lang w:eastAsia="ar-SA"/>
        </w:rPr>
        <w:t xml:space="preserve"> ustalono  na poziomie zawartych umów o pracę na koniec 201</w:t>
      </w:r>
      <w:r w:rsidR="00337CA8">
        <w:rPr>
          <w:rFonts w:eastAsia="Lucida Sans Unicode"/>
          <w:kern w:val="1"/>
          <w:lang w:eastAsia="ar-SA"/>
        </w:rPr>
        <w:t>9</w:t>
      </w:r>
      <w:r w:rsidRPr="00F543BB">
        <w:rPr>
          <w:rFonts w:eastAsia="Lucida Sans Unicode"/>
          <w:kern w:val="1"/>
          <w:lang w:eastAsia="ar-SA"/>
        </w:rPr>
        <w:t xml:space="preserve"> r. Na wydatki na wynagrodzenia i pochodne od wynagrodzeń dla nauczycieli założono wzrost</w:t>
      </w:r>
      <w:r w:rsidR="00065828" w:rsidRPr="00F543BB">
        <w:rPr>
          <w:rFonts w:eastAsia="Lucida Sans Unicode"/>
          <w:kern w:val="1"/>
          <w:lang w:eastAsia="ar-SA"/>
        </w:rPr>
        <w:t xml:space="preserve"> </w:t>
      </w:r>
      <w:r w:rsidR="00337CA8">
        <w:rPr>
          <w:rFonts w:eastAsia="Lucida Sans Unicode"/>
          <w:kern w:val="1"/>
          <w:lang w:eastAsia="ar-SA"/>
        </w:rPr>
        <w:t>6</w:t>
      </w:r>
      <w:r w:rsidRPr="00F543BB">
        <w:rPr>
          <w:rFonts w:eastAsia="Lucida Sans Unicode"/>
          <w:kern w:val="1"/>
          <w:lang w:eastAsia="ar-SA"/>
        </w:rPr>
        <w:t xml:space="preserve"> %, dla pracowników Urzędu </w:t>
      </w:r>
      <w:r w:rsidR="00DD5288">
        <w:rPr>
          <w:rFonts w:eastAsia="Lucida Sans Unicode"/>
          <w:kern w:val="1"/>
          <w:lang w:eastAsia="ar-SA"/>
        </w:rPr>
        <w:t>6,3</w:t>
      </w:r>
      <w:r w:rsidR="00875756" w:rsidRPr="00F543BB">
        <w:rPr>
          <w:rFonts w:eastAsia="Lucida Sans Unicode"/>
          <w:kern w:val="1"/>
          <w:lang w:eastAsia="ar-SA"/>
        </w:rPr>
        <w:t xml:space="preserve"> </w:t>
      </w:r>
      <w:r w:rsidRPr="00F543BB">
        <w:rPr>
          <w:rFonts w:eastAsia="Lucida Sans Unicode"/>
          <w:kern w:val="1"/>
          <w:lang w:eastAsia="ar-SA"/>
        </w:rPr>
        <w:t>%.</w:t>
      </w:r>
    </w:p>
    <w:p w:rsidR="00875756" w:rsidRPr="00F543BB" w:rsidRDefault="00D95AB7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Wydatki </w:t>
      </w:r>
      <w:r w:rsidR="00065828" w:rsidRPr="00F543BB">
        <w:rPr>
          <w:rFonts w:eastAsia="Lucida Sans Unicode"/>
          <w:kern w:val="1"/>
          <w:lang w:eastAsia="ar-SA"/>
        </w:rPr>
        <w:t xml:space="preserve"> na wynagrodzenia i pochodne </w:t>
      </w:r>
      <w:r>
        <w:rPr>
          <w:rFonts w:eastAsia="Lucida Sans Unicode"/>
          <w:kern w:val="1"/>
          <w:lang w:eastAsia="ar-SA"/>
        </w:rPr>
        <w:t>są</w:t>
      </w:r>
      <w:r w:rsidR="00065828" w:rsidRPr="00F543BB">
        <w:rPr>
          <w:rFonts w:eastAsia="Lucida Sans Unicode"/>
          <w:kern w:val="1"/>
          <w:lang w:eastAsia="ar-SA"/>
        </w:rPr>
        <w:t xml:space="preserve"> związane z wysokości</w:t>
      </w:r>
      <w:r w:rsidR="00E14A1F" w:rsidRPr="00F543BB">
        <w:rPr>
          <w:rFonts w:eastAsia="Lucida Sans Unicode"/>
          <w:kern w:val="1"/>
          <w:lang w:eastAsia="ar-SA"/>
        </w:rPr>
        <w:t>ą</w:t>
      </w:r>
      <w:r w:rsidR="00065828" w:rsidRPr="00F543BB">
        <w:rPr>
          <w:rFonts w:eastAsia="Lucida Sans Unicode"/>
          <w:kern w:val="1"/>
          <w:lang w:eastAsia="ar-SA"/>
        </w:rPr>
        <w:t xml:space="preserve"> płacy minimalnej, odprawami emery</w:t>
      </w:r>
      <w:r w:rsidR="00E14A1F" w:rsidRPr="00F543BB">
        <w:rPr>
          <w:rFonts w:eastAsia="Lucida Sans Unicode"/>
          <w:kern w:val="1"/>
          <w:lang w:eastAsia="ar-SA"/>
        </w:rPr>
        <w:t>t</w:t>
      </w:r>
      <w:r w:rsidR="00065828" w:rsidRPr="00F543BB">
        <w:rPr>
          <w:rFonts w:eastAsia="Lucida Sans Unicode"/>
          <w:kern w:val="1"/>
          <w:lang w:eastAsia="ar-SA"/>
        </w:rPr>
        <w:t>a</w:t>
      </w:r>
      <w:r w:rsidR="00E14A1F" w:rsidRPr="00F543BB">
        <w:rPr>
          <w:rFonts w:eastAsia="Lucida Sans Unicode"/>
          <w:kern w:val="1"/>
          <w:lang w:eastAsia="ar-SA"/>
        </w:rPr>
        <w:t>l</w:t>
      </w:r>
      <w:r w:rsidR="00065828" w:rsidRPr="00F543BB">
        <w:rPr>
          <w:rFonts w:eastAsia="Lucida Sans Unicode"/>
          <w:kern w:val="1"/>
          <w:lang w:eastAsia="ar-SA"/>
        </w:rPr>
        <w:t>nymi oraz nagrodami jubileuszowymi</w:t>
      </w:r>
      <w:r w:rsidR="003E03C2">
        <w:rPr>
          <w:rFonts w:eastAsia="Lucida Sans Unicode"/>
          <w:kern w:val="1"/>
          <w:lang w:eastAsia="ar-SA"/>
        </w:rPr>
        <w:t xml:space="preserve"> jak również  </w:t>
      </w:r>
      <w:r w:rsidR="00DD5288">
        <w:rPr>
          <w:rFonts w:eastAsia="Lucida Sans Unicode"/>
          <w:kern w:val="1"/>
          <w:lang w:eastAsia="ar-SA"/>
        </w:rPr>
        <w:t>zwiększona płacą minimalną</w:t>
      </w:r>
      <w:r w:rsidR="00065828" w:rsidRPr="00F543BB">
        <w:rPr>
          <w:rFonts w:eastAsia="Lucida Sans Unicode"/>
          <w:kern w:val="1"/>
          <w:lang w:eastAsia="ar-SA"/>
        </w:rPr>
        <w:t>.</w:t>
      </w:r>
      <w:r>
        <w:rPr>
          <w:rFonts w:eastAsia="Lucida Sans Unicode"/>
          <w:kern w:val="1"/>
          <w:lang w:eastAsia="ar-SA"/>
        </w:rPr>
        <w:t xml:space="preserve"> Liczba nauczycieli zatrudniona w 20</w:t>
      </w:r>
      <w:r w:rsidR="00DD5288">
        <w:rPr>
          <w:rFonts w:eastAsia="Lucida Sans Unicode"/>
          <w:kern w:val="1"/>
          <w:lang w:eastAsia="ar-SA"/>
        </w:rPr>
        <w:t>20</w:t>
      </w:r>
      <w:r>
        <w:rPr>
          <w:rFonts w:eastAsia="Lucida Sans Unicode"/>
          <w:kern w:val="1"/>
          <w:lang w:eastAsia="ar-SA"/>
        </w:rPr>
        <w:t xml:space="preserve"> roku w stosunku do 201</w:t>
      </w:r>
      <w:r w:rsidR="00DD5288">
        <w:rPr>
          <w:rFonts w:eastAsia="Lucida Sans Unicode"/>
          <w:kern w:val="1"/>
          <w:lang w:eastAsia="ar-SA"/>
        </w:rPr>
        <w:t>9</w:t>
      </w:r>
      <w:r>
        <w:rPr>
          <w:rFonts w:eastAsia="Lucida Sans Unicode"/>
          <w:kern w:val="1"/>
          <w:lang w:eastAsia="ar-SA"/>
        </w:rPr>
        <w:t xml:space="preserve"> jest mniejsza( </w:t>
      </w:r>
      <w:r w:rsidR="00DD5288">
        <w:rPr>
          <w:rFonts w:eastAsia="Lucida Sans Unicode"/>
          <w:kern w:val="1"/>
          <w:lang w:eastAsia="ar-SA"/>
        </w:rPr>
        <w:t xml:space="preserve">zostało zlikwidowane </w:t>
      </w:r>
      <w:r>
        <w:rPr>
          <w:rFonts w:eastAsia="Lucida Sans Unicode"/>
          <w:kern w:val="1"/>
          <w:lang w:eastAsia="ar-SA"/>
        </w:rPr>
        <w:t>gimn</w:t>
      </w:r>
      <w:r w:rsidR="00904AA4">
        <w:rPr>
          <w:rFonts w:eastAsia="Lucida Sans Unicode"/>
          <w:kern w:val="1"/>
          <w:lang w:eastAsia="ar-SA"/>
        </w:rPr>
        <w:t>a</w:t>
      </w:r>
      <w:r>
        <w:rPr>
          <w:rFonts w:eastAsia="Lucida Sans Unicode"/>
          <w:kern w:val="1"/>
          <w:lang w:eastAsia="ar-SA"/>
        </w:rPr>
        <w:t>zjum).</w:t>
      </w:r>
    </w:p>
    <w:p w:rsidR="00065828" w:rsidRPr="00F543BB" w:rsidRDefault="00065828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3E03C2" w:rsidRDefault="003E03C2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CA081D" w:rsidRPr="00F543BB" w:rsidRDefault="00CA081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b/>
          <w:kern w:val="1"/>
          <w:lang w:eastAsia="ar-SA"/>
        </w:rPr>
        <w:t>Zakup towarów i usług</w:t>
      </w:r>
      <w:r w:rsidRPr="00F543BB">
        <w:rPr>
          <w:rFonts w:eastAsia="Lucida Sans Unicode"/>
          <w:kern w:val="1"/>
          <w:lang w:eastAsia="ar-SA"/>
        </w:rPr>
        <w:t xml:space="preserve"> </w:t>
      </w:r>
      <w:r w:rsidRPr="00F543BB">
        <w:rPr>
          <w:rFonts w:eastAsia="Lucida Sans Unicode"/>
          <w:b/>
          <w:kern w:val="1"/>
          <w:lang w:eastAsia="ar-SA"/>
        </w:rPr>
        <w:t xml:space="preserve">( gaz, centralne ogrzewanie, energia elektryczna, woda i kanalizacja) </w:t>
      </w:r>
      <w:r w:rsidRPr="00F543BB">
        <w:rPr>
          <w:rFonts w:eastAsia="Lucida Sans Unicode"/>
          <w:kern w:val="1"/>
          <w:lang w:eastAsia="ar-SA"/>
        </w:rPr>
        <w:t>na poziomie przewidywanego wykonania za 201</w:t>
      </w:r>
      <w:r w:rsidR="00DD5288">
        <w:rPr>
          <w:rFonts w:eastAsia="Lucida Sans Unicode"/>
          <w:kern w:val="1"/>
          <w:lang w:eastAsia="ar-SA"/>
        </w:rPr>
        <w:t>9</w:t>
      </w:r>
      <w:r w:rsidRPr="00F543BB">
        <w:rPr>
          <w:rFonts w:eastAsia="Lucida Sans Unicode"/>
          <w:kern w:val="1"/>
          <w:lang w:eastAsia="ar-SA"/>
        </w:rPr>
        <w:t xml:space="preserve"> r z uwzględnieniem </w:t>
      </w:r>
      <w:r w:rsidR="00875756" w:rsidRPr="00F543BB">
        <w:rPr>
          <w:rFonts w:eastAsia="Lucida Sans Unicode"/>
          <w:kern w:val="1"/>
          <w:lang w:eastAsia="ar-SA"/>
        </w:rPr>
        <w:t xml:space="preserve">około </w:t>
      </w:r>
      <w:r w:rsidR="00DD5288">
        <w:rPr>
          <w:rFonts w:eastAsia="Lucida Sans Unicode"/>
          <w:kern w:val="1"/>
          <w:lang w:eastAsia="ar-SA"/>
        </w:rPr>
        <w:t>3</w:t>
      </w:r>
      <w:r w:rsidR="00875756" w:rsidRPr="00F543BB">
        <w:rPr>
          <w:rFonts w:eastAsia="Lucida Sans Unicode"/>
          <w:kern w:val="1"/>
          <w:lang w:eastAsia="ar-SA"/>
        </w:rPr>
        <w:t xml:space="preserve">% </w:t>
      </w:r>
      <w:r w:rsidRPr="00F543BB">
        <w:rPr>
          <w:rFonts w:eastAsia="Lucida Sans Unicode"/>
          <w:kern w:val="1"/>
          <w:lang w:eastAsia="ar-SA"/>
        </w:rPr>
        <w:t xml:space="preserve"> wzrostu cen oraz na wydatki rzeczowe na podstawie zweryfikowanych kalkulacji wydatków </w:t>
      </w:r>
      <w:r w:rsidRPr="00F543BB">
        <w:rPr>
          <w:rFonts w:eastAsia="Lucida Sans Unicode"/>
          <w:kern w:val="1"/>
          <w:lang w:eastAsia="ar-SA"/>
        </w:rPr>
        <w:lastRenderedPageBreak/>
        <w:t>zaproponowanych przez jednostki budżetowe.</w:t>
      </w:r>
    </w:p>
    <w:p w:rsidR="00CA081D" w:rsidRPr="00F543BB" w:rsidRDefault="00CA081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kern w:val="1"/>
          <w:lang w:eastAsia="ar-SA"/>
        </w:rPr>
        <w:t xml:space="preserve">W kolejnych latach wydatki bieżące z w/w tytułów planuje się o wzrost  przewidziany w prognozie makroekonomicznej budżetu państwa o </w:t>
      </w:r>
      <w:r w:rsidR="00875756" w:rsidRPr="00F543BB">
        <w:rPr>
          <w:rFonts w:eastAsia="Lucida Sans Unicode"/>
          <w:kern w:val="1"/>
          <w:lang w:eastAsia="ar-SA"/>
        </w:rPr>
        <w:t xml:space="preserve"> około 3 </w:t>
      </w:r>
      <w:r w:rsidRPr="00F543BB">
        <w:rPr>
          <w:rFonts w:eastAsia="Lucida Sans Unicode"/>
          <w:kern w:val="1"/>
          <w:lang w:eastAsia="ar-SA"/>
        </w:rPr>
        <w:t>%.</w:t>
      </w:r>
    </w:p>
    <w:p w:rsidR="00875756" w:rsidRPr="00F543BB" w:rsidRDefault="0087575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CA081D" w:rsidRPr="00F543BB" w:rsidRDefault="00CA081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b/>
          <w:kern w:val="1"/>
          <w:lang w:eastAsia="ar-SA"/>
        </w:rPr>
        <w:t>Kwoty dotacji udzielonych z budżetu Gminy</w:t>
      </w:r>
      <w:r w:rsidRPr="00F543BB">
        <w:rPr>
          <w:rFonts w:eastAsia="Lucida Sans Unicode"/>
          <w:kern w:val="1"/>
          <w:lang w:eastAsia="ar-SA"/>
        </w:rPr>
        <w:t xml:space="preserve"> przyjęto na podstawie zawartych umów z jednostkami samorządu terytorialnego, jak również zaplanowano dotacje dla podmiotów spoza sektora finansów publicznych na realizację zadań własnych Gminy.</w:t>
      </w:r>
    </w:p>
    <w:p w:rsidR="00875756" w:rsidRPr="00F543BB" w:rsidRDefault="0087575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CA081D" w:rsidRPr="00F543BB" w:rsidRDefault="00CA081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b/>
          <w:kern w:val="1"/>
          <w:lang w:eastAsia="ar-SA"/>
        </w:rPr>
        <w:t>Wydatki na obsługę długu</w:t>
      </w:r>
      <w:r w:rsidRPr="00F543BB">
        <w:rPr>
          <w:rFonts w:eastAsia="Lucida Sans Unicode"/>
          <w:kern w:val="1"/>
          <w:lang w:eastAsia="ar-SA"/>
        </w:rPr>
        <w:t xml:space="preserve"> zaplanowano na podstawie harmonogramów spłat zaciągniętych oraz planowanych do zaciągnięcia kredytów, pożyczek . Zarówno dla odsetek od zadłużenia istniejącego jak i zadłużenia prognozowanego przyjęto prognozowaną stawkę WIBOR</w:t>
      </w:r>
      <w:r w:rsidR="00F92B7A">
        <w:rPr>
          <w:rFonts w:eastAsia="Lucida Sans Unicode"/>
          <w:kern w:val="1"/>
          <w:lang w:eastAsia="ar-SA"/>
        </w:rPr>
        <w:t>3</w:t>
      </w:r>
      <w:r w:rsidRPr="00F543BB">
        <w:rPr>
          <w:rFonts w:eastAsia="Lucida Sans Unicode"/>
          <w:kern w:val="1"/>
          <w:lang w:eastAsia="ar-SA"/>
        </w:rPr>
        <w:t>M powiększoną o marżę kredytową wynoszącą</w:t>
      </w:r>
      <w:r w:rsidR="00875756" w:rsidRPr="00F543BB">
        <w:rPr>
          <w:rFonts w:eastAsia="Lucida Sans Unicode"/>
          <w:kern w:val="1"/>
          <w:lang w:eastAsia="ar-SA"/>
        </w:rPr>
        <w:t xml:space="preserve"> </w:t>
      </w:r>
      <w:r w:rsidR="008D43BE" w:rsidRPr="00F543BB">
        <w:rPr>
          <w:rFonts w:eastAsia="Lucida Sans Unicode"/>
          <w:kern w:val="1"/>
          <w:lang w:eastAsia="ar-SA"/>
        </w:rPr>
        <w:t xml:space="preserve">około </w:t>
      </w:r>
      <w:r w:rsidR="00875756" w:rsidRPr="00F543BB">
        <w:rPr>
          <w:rFonts w:eastAsia="Lucida Sans Unicode"/>
          <w:kern w:val="1"/>
          <w:lang w:eastAsia="ar-SA"/>
        </w:rPr>
        <w:t xml:space="preserve"> 0,80 </w:t>
      </w:r>
      <w:r w:rsidRPr="00F543BB">
        <w:rPr>
          <w:rFonts w:eastAsia="Lucida Sans Unicode"/>
          <w:kern w:val="1"/>
          <w:lang w:eastAsia="ar-SA"/>
        </w:rPr>
        <w:t>%</w:t>
      </w:r>
      <w:r w:rsidR="00875756" w:rsidRPr="00F543BB">
        <w:rPr>
          <w:rFonts w:eastAsia="Lucida Sans Unicode"/>
          <w:kern w:val="1"/>
          <w:lang w:eastAsia="ar-SA"/>
        </w:rPr>
        <w:t xml:space="preserve">. </w:t>
      </w:r>
    </w:p>
    <w:p w:rsidR="00875756" w:rsidRPr="00F543BB" w:rsidRDefault="0087575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u w:val="single"/>
          <w:lang w:eastAsia="ar-SA"/>
        </w:rPr>
      </w:pPr>
      <w:r w:rsidRPr="00F543BB">
        <w:rPr>
          <w:rFonts w:eastAsia="Lucida Sans Unicode"/>
          <w:kern w:val="1"/>
          <w:lang w:eastAsia="ar-SA"/>
        </w:rPr>
        <w:t>Na obsługę długu na 20</w:t>
      </w:r>
      <w:r w:rsidR="00D96C84">
        <w:rPr>
          <w:rFonts w:eastAsia="Lucida Sans Unicode"/>
          <w:kern w:val="1"/>
          <w:lang w:eastAsia="ar-SA"/>
        </w:rPr>
        <w:t>20</w:t>
      </w:r>
      <w:r w:rsidRPr="00F543BB">
        <w:rPr>
          <w:rFonts w:eastAsia="Lucida Sans Unicode"/>
          <w:kern w:val="1"/>
          <w:lang w:eastAsia="ar-SA"/>
        </w:rPr>
        <w:t xml:space="preserve"> rok zaplanowano kwotę </w:t>
      </w:r>
      <w:r w:rsidR="00D96C84">
        <w:rPr>
          <w:rFonts w:eastAsia="Lucida Sans Unicode"/>
          <w:kern w:val="1"/>
          <w:lang w:eastAsia="ar-SA"/>
        </w:rPr>
        <w:t xml:space="preserve">niższą niż </w:t>
      </w:r>
      <w:r w:rsidRPr="00F543BB">
        <w:rPr>
          <w:rFonts w:eastAsia="Lucida Sans Unicode"/>
          <w:kern w:val="1"/>
          <w:lang w:eastAsia="ar-SA"/>
        </w:rPr>
        <w:t xml:space="preserve"> </w:t>
      </w:r>
      <w:r w:rsidR="00D10C79">
        <w:rPr>
          <w:rFonts w:eastAsia="Lucida Sans Unicode"/>
          <w:kern w:val="1"/>
          <w:lang w:eastAsia="ar-SA"/>
        </w:rPr>
        <w:t>plan na 201</w:t>
      </w:r>
      <w:r w:rsidR="00D96C84">
        <w:rPr>
          <w:rFonts w:eastAsia="Lucida Sans Unicode"/>
          <w:kern w:val="1"/>
          <w:lang w:eastAsia="ar-SA"/>
        </w:rPr>
        <w:t>9</w:t>
      </w:r>
      <w:r w:rsidR="00D10C79">
        <w:rPr>
          <w:rFonts w:eastAsia="Lucida Sans Unicode"/>
          <w:kern w:val="1"/>
          <w:lang w:eastAsia="ar-SA"/>
        </w:rPr>
        <w:t xml:space="preserve"> </w:t>
      </w:r>
      <w:r w:rsidRPr="00F543BB">
        <w:rPr>
          <w:rFonts w:eastAsia="Lucida Sans Unicode"/>
          <w:kern w:val="1"/>
          <w:lang w:eastAsia="ar-SA"/>
        </w:rPr>
        <w:t xml:space="preserve">rok ponieważ </w:t>
      </w:r>
      <w:r w:rsidR="008D43BE" w:rsidRPr="00F543BB">
        <w:rPr>
          <w:rFonts w:eastAsia="Lucida Sans Unicode"/>
          <w:kern w:val="1"/>
          <w:lang w:eastAsia="ar-SA"/>
        </w:rPr>
        <w:t>po analizie zadłużenia i odsetek do zapłacenia od już zaciągniętych zobowiązań oraz stopnia realizacji inwestycji w 20</w:t>
      </w:r>
      <w:r w:rsidR="00D96C84">
        <w:rPr>
          <w:rFonts w:eastAsia="Lucida Sans Unicode"/>
          <w:kern w:val="1"/>
          <w:lang w:eastAsia="ar-SA"/>
        </w:rPr>
        <w:t>20</w:t>
      </w:r>
      <w:r w:rsidR="008D43BE" w:rsidRPr="00F543BB">
        <w:rPr>
          <w:rFonts w:eastAsia="Lucida Sans Unicode"/>
          <w:kern w:val="1"/>
          <w:lang w:eastAsia="ar-SA"/>
        </w:rPr>
        <w:t xml:space="preserve"> roku kwota będzie wystarczająca. Za realizację inwestycji należności</w:t>
      </w:r>
      <w:r w:rsidRPr="00F543BB">
        <w:rPr>
          <w:rFonts w:eastAsia="Lucida Sans Unicode"/>
          <w:kern w:val="1"/>
          <w:lang w:eastAsia="ar-SA"/>
        </w:rPr>
        <w:t xml:space="preserve"> </w:t>
      </w:r>
      <w:r w:rsidR="008D43BE" w:rsidRPr="00F543BB">
        <w:rPr>
          <w:rFonts w:eastAsia="Lucida Sans Unicode"/>
          <w:kern w:val="1"/>
          <w:lang w:eastAsia="ar-SA"/>
        </w:rPr>
        <w:t xml:space="preserve">będą pod koniec roku obrachunkowego </w:t>
      </w:r>
      <w:r w:rsidR="003516A8">
        <w:rPr>
          <w:rFonts w:eastAsia="Lucida Sans Unicode"/>
          <w:kern w:val="1"/>
          <w:lang w:eastAsia="ar-SA"/>
        </w:rPr>
        <w:t>a</w:t>
      </w:r>
      <w:r w:rsidR="008D43BE" w:rsidRPr="00F543BB">
        <w:rPr>
          <w:rFonts w:eastAsia="Lucida Sans Unicode"/>
          <w:kern w:val="1"/>
          <w:lang w:eastAsia="ar-SA"/>
        </w:rPr>
        <w:t xml:space="preserve"> kredyt i pożyczka na wyprzedzające finansowanie na zapłatę należności będzie uruchomiona dniu zapłaty za inwestycje. </w:t>
      </w:r>
    </w:p>
    <w:p w:rsidR="00AC6C1D" w:rsidRDefault="00AC6C1D" w:rsidP="004C08B2">
      <w:pPr>
        <w:suppressAutoHyphens/>
        <w:ind w:right="-25"/>
        <w:jc w:val="both"/>
        <w:rPr>
          <w:rFonts w:eastAsia="Lucida Sans Unicode"/>
          <w:b/>
          <w:kern w:val="1"/>
          <w:lang w:eastAsia="ar-SA"/>
        </w:rPr>
      </w:pPr>
    </w:p>
    <w:p w:rsidR="00AC6C1D" w:rsidRDefault="00AC6C1D" w:rsidP="004C08B2">
      <w:pPr>
        <w:suppressAutoHyphens/>
        <w:ind w:right="-25"/>
        <w:jc w:val="both"/>
        <w:rPr>
          <w:rFonts w:eastAsia="Lucida Sans Unicode"/>
          <w:b/>
          <w:kern w:val="1"/>
          <w:lang w:eastAsia="ar-SA"/>
        </w:rPr>
      </w:pPr>
    </w:p>
    <w:p w:rsidR="00AC6C1D" w:rsidRDefault="00AC6C1D" w:rsidP="004C08B2">
      <w:pPr>
        <w:suppressAutoHyphens/>
        <w:ind w:right="-25"/>
        <w:jc w:val="both"/>
        <w:rPr>
          <w:rFonts w:eastAsia="Lucida Sans Unicode"/>
          <w:b/>
          <w:kern w:val="1"/>
          <w:lang w:eastAsia="ar-SA"/>
        </w:rPr>
      </w:pPr>
    </w:p>
    <w:p w:rsidR="00AC6C1D" w:rsidRDefault="00AC6C1D" w:rsidP="004C08B2">
      <w:pPr>
        <w:suppressAutoHyphens/>
        <w:ind w:right="-25"/>
        <w:jc w:val="both"/>
        <w:rPr>
          <w:rFonts w:eastAsia="Lucida Sans Unicode"/>
          <w:b/>
          <w:kern w:val="1"/>
          <w:lang w:eastAsia="ar-SA"/>
        </w:rPr>
      </w:pPr>
    </w:p>
    <w:p w:rsidR="00CA081D" w:rsidRPr="00F543BB" w:rsidRDefault="00CA081D" w:rsidP="004C08B2">
      <w:pPr>
        <w:suppressAutoHyphens/>
        <w:ind w:right="-25"/>
        <w:jc w:val="center"/>
        <w:rPr>
          <w:rFonts w:eastAsia="Lucida Sans Unicode"/>
          <w:b/>
          <w:kern w:val="1"/>
          <w:lang w:eastAsia="ar-SA"/>
        </w:rPr>
      </w:pPr>
      <w:r w:rsidRPr="00F543BB">
        <w:rPr>
          <w:rFonts w:eastAsia="Lucida Sans Unicode"/>
          <w:b/>
          <w:kern w:val="1"/>
          <w:lang w:eastAsia="ar-SA"/>
        </w:rPr>
        <w:t>Wydatki majątkowe</w:t>
      </w:r>
    </w:p>
    <w:p w:rsidR="00CA081D" w:rsidRPr="00F543BB" w:rsidRDefault="00CA081D" w:rsidP="004C08B2">
      <w:pPr>
        <w:suppressAutoHyphens/>
        <w:ind w:right="-25"/>
        <w:jc w:val="both"/>
        <w:rPr>
          <w:rFonts w:eastAsia="Lucida Sans Unicode"/>
          <w:b/>
          <w:kern w:val="1"/>
          <w:lang w:eastAsia="ar-SA"/>
        </w:rPr>
      </w:pPr>
    </w:p>
    <w:p w:rsidR="00AC6C1D" w:rsidRDefault="00CA081D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kern w:val="1"/>
          <w:lang w:eastAsia="ar-SA"/>
        </w:rPr>
        <w:t>Wydatki majątkowe zostały oszacowane na podstawie danych dotyczących wieloletnich przedsięwzięć o charakterze majątkowym oraz przedstawiono zadania inwestycyjne realizowane w cyklu jednorocznym w latach 20</w:t>
      </w:r>
      <w:r w:rsidR="00D96C84">
        <w:rPr>
          <w:rFonts w:eastAsia="Lucida Sans Unicode"/>
          <w:kern w:val="1"/>
          <w:lang w:eastAsia="ar-SA"/>
        </w:rPr>
        <w:t>20</w:t>
      </w:r>
      <w:r w:rsidRPr="00F543BB">
        <w:rPr>
          <w:rFonts w:eastAsia="Lucida Sans Unicode"/>
          <w:kern w:val="1"/>
          <w:lang w:eastAsia="ar-SA"/>
        </w:rPr>
        <w:t xml:space="preserve"> - </w:t>
      </w:r>
      <w:r w:rsidR="000F2E22" w:rsidRPr="00F543BB">
        <w:rPr>
          <w:rFonts w:eastAsia="Lucida Sans Unicode"/>
          <w:kern w:val="1"/>
          <w:lang w:eastAsia="ar-SA"/>
        </w:rPr>
        <w:t>20</w:t>
      </w:r>
      <w:r w:rsidR="00C645B5">
        <w:rPr>
          <w:rFonts w:eastAsia="Lucida Sans Unicode"/>
          <w:kern w:val="1"/>
          <w:lang w:eastAsia="ar-SA"/>
        </w:rPr>
        <w:t>3</w:t>
      </w:r>
      <w:r w:rsidR="00904AA4">
        <w:rPr>
          <w:rFonts w:eastAsia="Lucida Sans Unicode"/>
          <w:kern w:val="1"/>
          <w:lang w:eastAsia="ar-SA"/>
        </w:rPr>
        <w:t>0</w:t>
      </w:r>
      <w:r w:rsidRPr="00F543BB">
        <w:rPr>
          <w:rFonts w:eastAsia="Lucida Sans Unicode"/>
          <w:kern w:val="1"/>
          <w:lang w:eastAsia="ar-SA"/>
        </w:rPr>
        <w:t xml:space="preserve"> . W roku 20</w:t>
      </w:r>
      <w:r w:rsidR="00D96C84">
        <w:rPr>
          <w:rFonts w:eastAsia="Lucida Sans Unicode"/>
          <w:kern w:val="1"/>
          <w:lang w:eastAsia="ar-SA"/>
        </w:rPr>
        <w:t>20</w:t>
      </w:r>
      <w:r w:rsidRPr="00F543BB">
        <w:rPr>
          <w:rFonts w:eastAsia="Lucida Sans Unicode"/>
          <w:kern w:val="1"/>
          <w:lang w:eastAsia="ar-SA"/>
        </w:rPr>
        <w:t xml:space="preserve"> planuje się przeznaczyć na zadania inwestycyjne </w:t>
      </w:r>
      <w:r w:rsidR="000463C6">
        <w:rPr>
          <w:rFonts w:eastAsia="Lucida Sans Unicode"/>
          <w:kern w:val="1"/>
          <w:lang w:eastAsia="ar-SA"/>
        </w:rPr>
        <w:t>2.</w:t>
      </w:r>
      <w:r w:rsidR="008A2850">
        <w:rPr>
          <w:rFonts w:eastAsia="Lucida Sans Unicode"/>
          <w:kern w:val="1"/>
          <w:lang w:eastAsia="ar-SA"/>
        </w:rPr>
        <w:t>330</w:t>
      </w:r>
      <w:r w:rsidR="00A7199B">
        <w:rPr>
          <w:rFonts w:eastAsia="Lucida Sans Unicode"/>
          <w:kern w:val="1"/>
          <w:lang w:eastAsia="ar-SA"/>
        </w:rPr>
        <w:t>.550</w:t>
      </w:r>
      <w:r w:rsidR="000F2E22" w:rsidRPr="00F543BB">
        <w:rPr>
          <w:rFonts w:eastAsia="Lucida Sans Unicode"/>
          <w:kern w:val="1"/>
          <w:lang w:eastAsia="ar-SA"/>
        </w:rPr>
        <w:t>,00</w:t>
      </w:r>
      <w:r w:rsidR="00D96C84">
        <w:rPr>
          <w:rFonts w:eastAsia="Lucida Sans Unicode"/>
          <w:kern w:val="1"/>
          <w:lang w:eastAsia="ar-SA"/>
        </w:rPr>
        <w:t xml:space="preserve">zł. </w:t>
      </w:r>
      <w:r w:rsidRPr="00F543BB">
        <w:rPr>
          <w:rFonts w:eastAsia="Lucida Sans Unicode"/>
          <w:kern w:val="1"/>
          <w:lang w:eastAsia="ar-SA"/>
        </w:rPr>
        <w:t xml:space="preserve">W ramach wieloletniej prognozy finansowej uwagę zwracają zmiany w strukturze źródeł finansowania wydatków majątkowych. </w:t>
      </w:r>
    </w:p>
    <w:p w:rsidR="000F2E22" w:rsidRDefault="004E0A5E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Gmina czyni starania aby w </w:t>
      </w:r>
      <w:r w:rsidR="000463C6">
        <w:rPr>
          <w:rFonts w:eastAsia="Lucida Sans Unicode"/>
          <w:kern w:val="1"/>
          <w:lang w:eastAsia="ar-SA"/>
        </w:rPr>
        <w:t xml:space="preserve"> roku 20</w:t>
      </w:r>
      <w:r w:rsidR="00D96C84">
        <w:rPr>
          <w:rFonts w:eastAsia="Lucida Sans Unicode"/>
          <w:kern w:val="1"/>
          <w:lang w:eastAsia="ar-SA"/>
        </w:rPr>
        <w:t>20</w:t>
      </w:r>
      <w:r w:rsidR="000463C6">
        <w:rPr>
          <w:rFonts w:eastAsia="Lucida Sans Unicode"/>
          <w:kern w:val="1"/>
          <w:lang w:eastAsia="ar-SA"/>
        </w:rPr>
        <w:t xml:space="preserve"> i </w:t>
      </w:r>
      <w:r>
        <w:rPr>
          <w:rFonts w:eastAsia="Lucida Sans Unicode"/>
          <w:kern w:val="1"/>
          <w:lang w:eastAsia="ar-SA"/>
        </w:rPr>
        <w:t xml:space="preserve">latach następnych zdobyć jak </w:t>
      </w:r>
      <w:r w:rsidR="00D96C84">
        <w:rPr>
          <w:rFonts w:eastAsia="Lucida Sans Unicode"/>
          <w:kern w:val="1"/>
          <w:lang w:eastAsia="ar-SA"/>
        </w:rPr>
        <w:t xml:space="preserve">najwięcej środków z budżetu UE i środki z budżetu państwa. </w:t>
      </w:r>
      <w:r>
        <w:rPr>
          <w:rFonts w:eastAsia="Lucida Sans Unicode"/>
          <w:kern w:val="1"/>
          <w:lang w:eastAsia="ar-SA"/>
        </w:rPr>
        <w:t>Na dzień dzisiejszy nie jest wiadomo na jakie zadania i cele będą one przeznaczone.</w:t>
      </w:r>
      <w:r w:rsidR="000D7562">
        <w:rPr>
          <w:rFonts w:eastAsia="Lucida Sans Unicode"/>
          <w:kern w:val="1"/>
          <w:lang w:eastAsia="ar-SA"/>
        </w:rPr>
        <w:t xml:space="preserve"> Mamy złożone wnioski.</w:t>
      </w:r>
    </w:p>
    <w:p w:rsidR="00814156" w:rsidRDefault="00814156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0463C6" w:rsidRDefault="000463C6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0463C6" w:rsidRDefault="000463C6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0463C6" w:rsidRDefault="000463C6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96C84" w:rsidRDefault="00D96C84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96C84" w:rsidRDefault="00D96C84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0463C6" w:rsidRDefault="000463C6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0463C6" w:rsidRDefault="000463C6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0463C6" w:rsidRDefault="000463C6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D568B5" w:rsidRDefault="00D568B5" w:rsidP="004C08B2">
      <w:pPr>
        <w:suppressAutoHyphens/>
        <w:ind w:right="-25"/>
        <w:jc w:val="both"/>
        <w:rPr>
          <w:rFonts w:eastAsia="Lucida Sans Unicode"/>
          <w:kern w:val="1"/>
          <w:lang w:eastAsia="ar-SA"/>
        </w:rPr>
      </w:pPr>
    </w:p>
    <w:p w:rsidR="00CA081D" w:rsidRPr="00F543BB" w:rsidRDefault="00CA081D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kern w:val="1"/>
          <w:lang w:eastAsia="ar-SA"/>
        </w:rPr>
        <w:lastRenderedPageBreak/>
        <w:t>Biorąc pod uwagę powyższe ustalenia prognozowan</w:t>
      </w:r>
      <w:r w:rsidR="003516A8">
        <w:rPr>
          <w:rFonts w:eastAsia="Lucida Sans Unicode"/>
          <w:kern w:val="1"/>
          <w:lang w:eastAsia="ar-SA"/>
        </w:rPr>
        <w:t>e</w:t>
      </w:r>
      <w:r w:rsidRPr="00F543BB">
        <w:rPr>
          <w:rFonts w:eastAsia="Lucida Sans Unicode"/>
          <w:kern w:val="1"/>
          <w:lang w:eastAsia="ar-SA"/>
        </w:rPr>
        <w:t xml:space="preserve">  planowan</w:t>
      </w:r>
      <w:r w:rsidR="008D43BE" w:rsidRPr="00F543BB">
        <w:rPr>
          <w:rFonts w:eastAsia="Lucida Sans Unicode"/>
          <w:kern w:val="1"/>
          <w:lang w:eastAsia="ar-SA"/>
        </w:rPr>
        <w:t>e</w:t>
      </w:r>
      <w:r w:rsidRPr="00F543BB">
        <w:rPr>
          <w:rFonts w:eastAsia="Lucida Sans Unicode"/>
          <w:kern w:val="1"/>
          <w:lang w:eastAsia="ar-SA"/>
        </w:rPr>
        <w:t xml:space="preserve"> wydatk</w:t>
      </w:r>
      <w:r w:rsidR="008D43BE" w:rsidRPr="00F543BB">
        <w:rPr>
          <w:rFonts w:eastAsia="Lucida Sans Unicode"/>
          <w:kern w:val="1"/>
          <w:lang w:eastAsia="ar-SA"/>
        </w:rPr>
        <w:t>i</w:t>
      </w:r>
      <w:r w:rsidRPr="00F543BB">
        <w:rPr>
          <w:rFonts w:eastAsia="Lucida Sans Unicode"/>
          <w:kern w:val="1"/>
          <w:lang w:eastAsia="ar-SA"/>
        </w:rPr>
        <w:t xml:space="preserve"> na lata 20</w:t>
      </w:r>
      <w:r w:rsidR="00D96C84">
        <w:rPr>
          <w:rFonts w:eastAsia="Lucida Sans Unicode"/>
          <w:kern w:val="1"/>
          <w:lang w:eastAsia="ar-SA"/>
        </w:rPr>
        <w:t>20</w:t>
      </w:r>
      <w:r w:rsidRPr="00F543BB">
        <w:rPr>
          <w:rFonts w:eastAsia="Lucida Sans Unicode"/>
          <w:kern w:val="1"/>
          <w:lang w:eastAsia="ar-SA"/>
        </w:rPr>
        <w:t>-20</w:t>
      </w:r>
      <w:r w:rsidR="00C645B5">
        <w:rPr>
          <w:rFonts w:eastAsia="Lucida Sans Unicode"/>
          <w:kern w:val="1"/>
          <w:lang w:eastAsia="ar-SA"/>
        </w:rPr>
        <w:t>3</w:t>
      </w:r>
      <w:r w:rsidR="009C5D94">
        <w:rPr>
          <w:rFonts w:eastAsia="Lucida Sans Unicode"/>
          <w:kern w:val="1"/>
          <w:lang w:eastAsia="ar-SA"/>
        </w:rPr>
        <w:t>0</w:t>
      </w:r>
      <w:r w:rsidRPr="00F543BB">
        <w:rPr>
          <w:rFonts w:eastAsia="Lucida Sans Unicode"/>
          <w:kern w:val="1"/>
          <w:lang w:eastAsia="ar-SA"/>
        </w:rPr>
        <w:t xml:space="preserve"> przedstawia</w:t>
      </w:r>
      <w:r w:rsidR="008D43BE" w:rsidRPr="00F543BB">
        <w:rPr>
          <w:rFonts w:eastAsia="Lucida Sans Unicode"/>
          <w:kern w:val="1"/>
          <w:lang w:eastAsia="ar-SA"/>
        </w:rPr>
        <w:t>ją</w:t>
      </w:r>
      <w:r w:rsidRPr="00F543BB">
        <w:rPr>
          <w:rFonts w:eastAsia="Lucida Sans Unicode"/>
          <w:kern w:val="1"/>
          <w:lang w:eastAsia="ar-SA"/>
        </w:rPr>
        <w:t xml:space="preserve"> się następująco: </w:t>
      </w:r>
    </w:p>
    <w:p w:rsidR="00CA081D" w:rsidRPr="00CA081D" w:rsidRDefault="00CA081D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b/>
          <w:kern w:val="1"/>
          <w:sz w:val="20"/>
          <w:szCs w:val="20"/>
          <w:lang w:eastAsia="ar-SA"/>
        </w:rPr>
      </w:pPr>
    </w:p>
    <w:tbl>
      <w:tblPr>
        <w:tblW w:w="7906" w:type="dxa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883"/>
        <w:gridCol w:w="283"/>
        <w:gridCol w:w="709"/>
        <w:gridCol w:w="709"/>
        <w:gridCol w:w="708"/>
        <w:gridCol w:w="584"/>
        <w:gridCol w:w="708"/>
        <w:gridCol w:w="709"/>
        <w:gridCol w:w="709"/>
        <w:gridCol w:w="709"/>
        <w:gridCol w:w="692"/>
      </w:tblGrid>
      <w:tr w:rsidR="00144BBD" w:rsidRPr="00CA081D" w:rsidTr="00144BBD">
        <w:trPr>
          <w:trHeight w:val="414"/>
          <w:jc w:val="center"/>
        </w:trPr>
        <w:tc>
          <w:tcPr>
            <w:tcW w:w="503" w:type="dxa"/>
          </w:tcPr>
          <w:p w:rsidR="000F2E22" w:rsidRPr="00CA081D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</w:pPr>
          </w:p>
          <w:p w:rsidR="000F2E22" w:rsidRPr="00CA081D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883" w:type="dxa"/>
          </w:tcPr>
          <w:p w:rsidR="000F2E22" w:rsidRPr="00CA081D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Treść</w:t>
            </w:r>
          </w:p>
        </w:tc>
        <w:tc>
          <w:tcPr>
            <w:tcW w:w="283" w:type="dxa"/>
          </w:tcPr>
          <w:p w:rsidR="000F2E22" w:rsidRPr="00CA081D" w:rsidRDefault="000F2E22" w:rsidP="004C08B2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4C08B2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709" w:type="dxa"/>
            <w:vAlign w:val="center"/>
          </w:tcPr>
          <w:p w:rsidR="000F2E22" w:rsidRPr="00CA081D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09" w:type="dxa"/>
            <w:vAlign w:val="center"/>
          </w:tcPr>
          <w:p w:rsidR="000F2E22" w:rsidRPr="00CA081D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0463C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8" w:type="dxa"/>
            <w:vAlign w:val="center"/>
          </w:tcPr>
          <w:p w:rsidR="000F2E22" w:rsidRPr="00CA081D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0D7562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84" w:type="dxa"/>
            <w:vAlign w:val="center"/>
          </w:tcPr>
          <w:p w:rsidR="000F2E22" w:rsidRPr="00CA081D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CA08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C645B5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8" w:type="dxa"/>
            <w:vAlign w:val="center"/>
          </w:tcPr>
          <w:p w:rsidR="000F2E22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AC6C1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:rsidR="000F2E22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814156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:rsidR="000F2E22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vAlign w:val="center"/>
          </w:tcPr>
          <w:p w:rsidR="000F2E22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92" w:type="dxa"/>
            <w:vAlign w:val="center"/>
          </w:tcPr>
          <w:p w:rsidR="000F2E22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0F2E22" w:rsidRPr="00CA081D" w:rsidRDefault="000F2E22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D96C8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8</w:t>
            </w:r>
          </w:p>
        </w:tc>
      </w:tr>
      <w:tr w:rsidR="00144BBD" w:rsidRPr="00282149" w:rsidTr="00144BBD">
        <w:trPr>
          <w:trHeight w:val="375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Wydatki ogółem ,</w:t>
            </w:r>
          </w:p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z tego :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</w:p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zł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8A2850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</w:t>
            </w:r>
            <w:r w:rsidR="008A2850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769</w:t>
            </w:r>
            <w:r w:rsidR="00A7199B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.</w:t>
            </w:r>
            <w:r w:rsidR="00E55A7C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34.267.725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34.574.400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34.791.800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35.569.400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36.578.400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37.566.400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38.692.000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39.738.038</w:t>
            </w:r>
          </w:p>
        </w:tc>
      </w:tr>
      <w:tr w:rsidR="00144BBD" w:rsidRPr="00282149" w:rsidTr="00144BBD">
        <w:trPr>
          <w:trHeight w:val="332"/>
          <w:jc w:val="center"/>
        </w:trPr>
        <w:tc>
          <w:tcPr>
            <w:tcW w:w="503" w:type="dxa"/>
            <w:tcBorders>
              <w:top w:val="single" w:sz="4" w:space="0" w:color="auto"/>
            </w:tcBorders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1.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Wydatki bieżące,</w:t>
            </w:r>
          </w:p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 xml:space="preserve"> w tym :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</w:p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zł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672544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32.439</w:t>
            </w:r>
            <w:r w:rsidR="00D96C84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.428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32.267.725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32.544.400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32.741.800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33.583.300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34.492.100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35.310.000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36.522.400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37.403.285</w:t>
            </w:r>
          </w:p>
        </w:tc>
      </w:tr>
      <w:tr w:rsidR="00144BBD" w:rsidRPr="00282149" w:rsidTr="00144BBD">
        <w:trPr>
          <w:trHeight w:val="401"/>
          <w:jc w:val="center"/>
        </w:trPr>
        <w:tc>
          <w:tcPr>
            <w:tcW w:w="503" w:type="dxa"/>
            <w:vMerge w:val="restart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883" w:type="dxa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 xml:space="preserve">Wynagrodzenia </w:t>
            </w:r>
          </w:p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i  pochodne</w:t>
            </w:r>
          </w:p>
        </w:tc>
        <w:tc>
          <w:tcPr>
            <w:tcW w:w="283" w:type="dxa"/>
            <w:vAlign w:val="center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</w:p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zł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11.481.277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11.530.000</w:t>
            </w:r>
          </w:p>
        </w:tc>
        <w:tc>
          <w:tcPr>
            <w:tcW w:w="708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11.530.000</w:t>
            </w:r>
          </w:p>
        </w:tc>
        <w:tc>
          <w:tcPr>
            <w:tcW w:w="584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11.550.000</w:t>
            </w:r>
          </w:p>
        </w:tc>
        <w:tc>
          <w:tcPr>
            <w:tcW w:w="708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11.550.000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11.600.000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11.650.000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11.650.000</w:t>
            </w:r>
          </w:p>
        </w:tc>
        <w:tc>
          <w:tcPr>
            <w:tcW w:w="692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11.700.000</w:t>
            </w:r>
          </w:p>
        </w:tc>
      </w:tr>
      <w:tr w:rsidR="00144BBD" w:rsidRPr="00282149" w:rsidTr="00D568B5">
        <w:trPr>
          <w:trHeight w:val="242"/>
          <w:jc w:val="center"/>
        </w:trPr>
        <w:tc>
          <w:tcPr>
            <w:tcW w:w="503" w:type="dxa"/>
            <w:vMerge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883" w:type="dxa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Obsługa długu</w:t>
            </w:r>
          </w:p>
        </w:tc>
        <w:tc>
          <w:tcPr>
            <w:tcW w:w="283" w:type="dxa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zł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210.000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200.000</w:t>
            </w:r>
          </w:p>
        </w:tc>
        <w:tc>
          <w:tcPr>
            <w:tcW w:w="708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190.000</w:t>
            </w:r>
          </w:p>
        </w:tc>
        <w:tc>
          <w:tcPr>
            <w:tcW w:w="584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190.000</w:t>
            </w:r>
          </w:p>
        </w:tc>
        <w:tc>
          <w:tcPr>
            <w:tcW w:w="708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190.000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180.000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180.000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170.000</w:t>
            </w:r>
          </w:p>
        </w:tc>
        <w:tc>
          <w:tcPr>
            <w:tcW w:w="692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150.000</w:t>
            </w:r>
          </w:p>
        </w:tc>
      </w:tr>
      <w:tr w:rsidR="00144BBD" w:rsidRPr="00282149" w:rsidTr="00D568B5">
        <w:trPr>
          <w:trHeight w:val="344"/>
          <w:jc w:val="center"/>
        </w:trPr>
        <w:tc>
          <w:tcPr>
            <w:tcW w:w="503" w:type="dxa"/>
            <w:vMerge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883" w:type="dxa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Poręczenia i gwarancje</w:t>
            </w:r>
          </w:p>
        </w:tc>
        <w:tc>
          <w:tcPr>
            <w:tcW w:w="283" w:type="dxa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zł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584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692" w:type="dxa"/>
          </w:tcPr>
          <w:p w:rsidR="000F2E22" w:rsidRPr="00F92B7A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144BBD" w:rsidRPr="00282149" w:rsidTr="00D568B5">
        <w:trPr>
          <w:trHeight w:val="517"/>
          <w:jc w:val="center"/>
        </w:trPr>
        <w:tc>
          <w:tcPr>
            <w:tcW w:w="503" w:type="dxa"/>
            <w:vMerge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883" w:type="dxa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 xml:space="preserve">Pozostałe wydatki </w:t>
            </w:r>
          </w:p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bieżące</w:t>
            </w:r>
          </w:p>
        </w:tc>
        <w:tc>
          <w:tcPr>
            <w:tcW w:w="283" w:type="dxa"/>
          </w:tcPr>
          <w:p w:rsidR="000F2E22" w:rsidRPr="00282149" w:rsidRDefault="000F2E22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zł</w:t>
            </w:r>
          </w:p>
        </w:tc>
        <w:tc>
          <w:tcPr>
            <w:tcW w:w="709" w:type="dxa"/>
          </w:tcPr>
          <w:p w:rsidR="000F2E22" w:rsidRPr="00F92B7A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20.348.151</w:t>
            </w:r>
          </w:p>
        </w:tc>
        <w:tc>
          <w:tcPr>
            <w:tcW w:w="709" w:type="dxa"/>
          </w:tcPr>
          <w:p w:rsidR="000F2E22" w:rsidRPr="00F92B7A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20.537.725</w:t>
            </w:r>
          </w:p>
        </w:tc>
        <w:tc>
          <w:tcPr>
            <w:tcW w:w="708" w:type="dxa"/>
          </w:tcPr>
          <w:p w:rsidR="000F2E22" w:rsidRPr="00F92B7A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20.824.400</w:t>
            </w:r>
          </w:p>
        </w:tc>
        <w:tc>
          <w:tcPr>
            <w:tcW w:w="584" w:type="dxa"/>
          </w:tcPr>
          <w:p w:rsidR="000F2E22" w:rsidRPr="00F92B7A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21.001.800</w:t>
            </w:r>
          </w:p>
        </w:tc>
        <w:tc>
          <w:tcPr>
            <w:tcW w:w="708" w:type="dxa"/>
          </w:tcPr>
          <w:p w:rsidR="000F2E22" w:rsidRPr="00F92B7A" w:rsidRDefault="003B024D" w:rsidP="003B024D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21.843.300</w:t>
            </w:r>
          </w:p>
        </w:tc>
        <w:tc>
          <w:tcPr>
            <w:tcW w:w="709" w:type="dxa"/>
          </w:tcPr>
          <w:p w:rsidR="000F2E22" w:rsidRPr="00F92B7A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22.712.100</w:t>
            </w:r>
          </w:p>
        </w:tc>
        <w:tc>
          <w:tcPr>
            <w:tcW w:w="709" w:type="dxa"/>
          </w:tcPr>
          <w:p w:rsidR="000F2E22" w:rsidRPr="00F92B7A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23.480.000</w:t>
            </w:r>
          </w:p>
        </w:tc>
        <w:tc>
          <w:tcPr>
            <w:tcW w:w="709" w:type="dxa"/>
          </w:tcPr>
          <w:p w:rsidR="000F2E22" w:rsidRPr="00F92B7A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24.702.400</w:t>
            </w:r>
          </w:p>
        </w:tc>
        <w:tc>
          <w:tcPr>
            <w:tcW w:w="692" w:type="dxa"/>
          </w:tcPr>
          <w:p w:rsidR="000F2E22" w:rsidRPr="00F92B7A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25.553.285</w:t>
            </w:r>
          </w:p>
        </w:tc>
      </w:tr>
      <w:tr w:rsidR="00D568B5" w:rsidRPr="00282149" w:rsidTr="00D568B5">
        <w:trPr>
          <w:trHeight w:val="517"/>
          <w:jc w:val="center"/>
        </w:trPr>
        <w:tc>
          <w:tcPr>
            <w:tcW w:w="503" w:type="dxa"/>
          </w:tcPr>
          <w:p w:rsidR="00D568B5" w:rsidRPr="00282149" w:rsidRDefault="00D568B5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883" w:type="dxa"/>
          </w:tcPr>
          <w:p w:rsidR="00D568B5" w:rsidRPr="00282149" w:rsidRDefault="00D568B5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Wydatki majątkowe</w:t>
            </w:r>
          </w:p>
        </w:tc>
        <w:tc>
          <w:tcPr>
            <w:tcW w:w="283" w:type="dxa"/>
          </w:tcPr>
          <w:p w:rsidR="00D568B5" w:rsidRPr="00282149" w:rsidRDefault="00D568B5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</w:pPr>
            <w:r w:rsidRPr="00282149">
              <w:rPr>
                <w:rFonts w:ascii="Calibri" w:eastAsia="Lucida Sans Unicode" w:hAnsi="Calibri"/>
                <w:b/>
                <w:kern w:val="1"/>
                <w:sz w:val="12"/>
                <w:szCs w:val="12"/>
                <w:lang w:eastAsia="ar-SA"/>
              </w:rPr>
              <w:t>zł</w:t>
            </w:r>
          </w:p>
        </w:tc>
        <w:tc>
          <w:tcPr>
            <w:tcW w:w="709" w:type="dxa"/>
          </w:tcPr>
          <w:p w:rsidR="00D568B5" w:rsidRPr="00F92B7A" w:rsidRDefault="005A1D57" w:rsidP="008A2850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</w:t>
            </w:r>
            <w:r w:rsidR="008A2850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330</w:t>
            </w:r>
            <w:r w:rsidR="00A7199B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.550</w:t>
            </w:r>
          </w:p>
        </w:tc>
        <w:tc>
          <w:tcPr>
            <w:tcW w:w="709" w:type="dxa"/>
          </w:tcPr>
          <w:p w:rsidR="00D568B5" w:rsidRPr="00F92B7A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2.000.000</w:t>
            </w:r>
          </w:p>
        </w:tc>
        <w:tc>
          <w:tcPr>
            <w:tcW w:w="708" w:type="dxa"/>
          </w:tcPr>
          <w:p w:rsidR="00D568B5" w:rsidRPr="00F92B7A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2.030.000</w:t>
            </w:r>
          </w:p>
        </w:tc>
        <w:tc>
          <w:tcPr>
            <w:tcW w:w="584" w:type="dxa"/>
          </w:tcPr>
          <w:p w:rsidR="00D568B5" w:rsidRPr="00F92B7A" w:rsidRDefault="005A1D57" w:rsidP="00F92B7A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2.050.000</w:t>
            </w:r>
          </w:p>
        </w:tc>
        <w:tc>
          <w:tcPr>
            <w:tcW w:w="708" w:type="dxa"/>
          </w:tcPr>
          <w:p w:rsidR="00D568B5" w:rsidRPr="00F92B7A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1.986.100</w:t>
            </w:r>
          </w:p>
        </w:tc>
        <w:tc>
          <w:tcPr>
            <w:tcW w:w="709" w:type="dxa"/>
          </w:tcPr>
          <w:p w:rsidR="00D568B5" w:rsidRPr="00F92B7A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2.086.300</w:t>
            </w:r>
          </w:p>
        </w:tc>
        <w:tc>
          <w:tcPr>
            <w:tcW w:w="709" w:type="dxa"/>
          </w:tcPr>
          <w:p w:rsidR="00D568B5" w:rsidRPr="00F92B7A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2.256.400</w:t>
            </w:r>
          </w:p>
        </w:tc>
        <w:tc>
          <w:tcPr>
            <w:tcW w:w="709" w:type="dxa"/>
          </w:tcPr>
          <w:p w:rsidR="00D568B5" w:rsidRPr="00F92B7A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2.169.600</w:t>
            </w:r>
          </w:p>
        </w:tc>
        <w:tc>
          <w:tcPr>
            <w:tcW w:w="692" w:type="dxa"/>
          </w:tcPr>
          <w:p w:rsidR="00D568B5" w:rsidRPr="00F92B7A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2.334.753</w:t>
            </w:r>
          </w:p>
        </w:tc>
      </w:tr>
    </w:tbl>
    <w:p w:rsidR="00CA081D" w:rsidRDefault="00CA081D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F5706D" w:rsidRDefault="00F5706D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C645B5" w:rsidRDefault="00C645B5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C645B5" w:rsidRDefault="00C645B5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C645B5" w:rsidRDefault="00C645B5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C645B5" w:rsidRDefault="00C645B5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tbl>
      <w:tblPr>
        <w:tblW w:w="2252" w:type="dxa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275"/>
      </w:tblGrid>
      <w:tr w:rsidR="00D96C84" w:rsidRPr="00CA081D" w:rsidTr="00D96C84">
        <w:trPr>
          <w:trHeight w:val="414"/>
          <w:jc w:val="center"/>
        </w:trPr>
        <w:tc>
          <w:tcPr>
            <w:tcW w:w="977" w:type="dxa"/>
            <w:vAlign w:val="center"/>
          </w:tcPr>
          <w:p w:rsidR="00D96C84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D96C84" w:rsidRPr="00CA081D" w:rsidRDefault="00D96C84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1275" w:type="dxa"/>
            <w:vAlign w:val="center"/>
          </w:tcPr>
          <w:p w:rsidR="00D96C84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D96C84" w:rsidRPr="00CA081D" w:rsidRDefault="00D96C84" w:rsidP="00D96C8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2030</w:t>
            </w:r>
          </w:p>
        </w:tc>
      </w:tr>
      <w:tr w:rsidR="00D96C84" w:rsidRPr="00144BBD" w:rsidTr="00D96C84">
        <w:trPr>
          <w:trHeight w:val="375"/>
          <w:jc w:val="center"/>
        </w:trPr>
        <w:tc>
          <w:tcPr>
            <w:tcW w:w="977" w:type="dxa"/>
            <w:tcBorders>
              <w:top w:val="single" w:sz="4" w:space="0" w:color="auto"/>
            </w:tcBorders>
          </w:tcPr>
          <w:p w:rsidR="00D96C84" w:rsidRPr="00CA081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41.405.000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6C84" w:rsidRPr="00144BB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42.562.500</w:t>
            </w:r>
          </w:p>
        </w:tc>
      </w:tr>
      <w:tr w:rsidR="00D96C84" w:rsidRPr="00144BBD" w:rsidTr="00D96C84">
        <w:trPr>
          <w:trHeight w:val="332"/>
          <w:jc w:val="center"/>
        </w:trPr>
        <w:tc>
          <w:tcPr>
            <w:tcW w:w="977" w:type="dxa"/>
            <w:tcBorders>
              <w:top w:val="single" w:sz="4" w:space="0" w:color="auto"/>
            </w:tcBorders>
          </w:tcPr>
          <w:p w:rsidR="00D96C84" w:rsidRPr="00CA081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38.497.700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6C84" w:rsidRPr="00144BB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39.530.000</w:t>
            </w:r>
          </w:p>
        </w:tc>
      </w:tr>
      <w:tr w:rsidR="00D96C84" w:rsidRPr="00144BBD" w:rsidTr="00D96C84">
        <w:trPr>
          <w:trHeight w:val="401"/>
          <w:jc w:val="center"/>
        </w:trPr>
        <w:tc>
          <w:tcPr>
            <w:tcW w:w="977" w:type="dxa"/>
          </w:tcPr>
          <w:p w:rsidR="00D96C84" w:rsidRPr="00CA081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11.700.000</w:t>
            </w:r>
          </w:p>
        </w:tc>
        <w:tc>
          <w:tcPr>
            <w:tcW w:w="1275" w:type="dxa"/>
          </w:tcPr>
          <w:p w:rsidR="00D96C84" w:rsidRPr="00144BB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11.700.000</w:t>
            </w:r>
          </w:p>
        </w:tc>
      </w:tr>
      <w:tr w:rsidR="00D96C84" w:rsidRPr="00144BBD" w:rsidTr="00D96C84">
        <w:trPr>
          <w:trHeight w:val="358"/>
          <w:jc w:val="center"/>
        </w:trPr>
        <w:tc>
          <w:tcPr>
            <w:tcW w:w="977" w:type="dxa"/>
          </w:tcPr>
          <w:p w:rsidR="00D96C84" w:rsidRPr="00CA081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120.000</w:t>
            </w:r>
          </w:p>
        </w:tc>
        <w:tc>
          <w:tcPr>
            <w:tcW w:w="1275" w:type="dxa"/>
          </w:tcPr>
          <w:p w:rsidR="00D96C84" w:rsidRPr="00144BB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80.000</w:t>
            </w:r>
          </w:p>
        </w:tc>
      </w:tr>
      <w:tr w:rsidR="00D96C84" w:rsidRPr="00144BBD" w:rsidTr="00D96C84">
        <w:trPr>
          <w:trHeight w:val="161"/>
          <w:jc w:val="center"/>
        </w:trPr>
        <w:tc>
          <w:tcPr>
            <w:tcW w:w="977" w:type="dxa"/>
          </w:tcPr>
          <w:p w:rsidR="00D96C84" w:rsidRPr="00CA081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1275" w:type="dxa"/>
          </w:tcPr>
          <w:p w:rsidR="00D96C84" w:rsidRPr="00144BBD" w:rsidRDefault="00D96C8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D96C84" w:rsidRPr="00144BBD" w:rsidTr="00D96C84">
        <w:trPr>
          <w:trHeight w:val="433"/>
          <w:jc w:val="center"/>
        </w:trPr>
        <w:tc>
          <w:tcPr>
            <w:tcW w:w="977" w:type="dxa"/>
          </w:tcPr>
          <w:p w:rsidR="00D96C84" w:rsidRPr="00CA081D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26.677.700</w:t>
            </w:r>
          </w:p>
        </w:tc>
        <w:tc>
          <w:tcPr>
            <w:tcW w:w="1275" w:type="dxa"/>
          </w:tcPr>
          <w:p w:rsidR="00D96C84" w:rsidRPr="00144BBD" w:rsidRDefault="003B024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27.750.000</w:t>
            </w:r>
          </w:p>
        </w:tc>
      </w:tr>
      <w:tr w:rsidR="00D96C84" w:rsidRPr="00144BBD" w:rsidTr="00D96C84">
        <w:trPr>
          <w:trHeight w:val="418"/>
          <w:jc w:val="center"/>
        </w:trPr>
        <w:tc>
          <w:tcPr>
            <w:tcW w:w="977" w:type="dxa"/>
          </w:tcPr>
          <w:p w:rsidR="00D96C84" w:rsidRPr="00CA081D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2.907.300</w:t>
            </w:r>
          </w:p>
        </w:tc>
        <w:tc>
          <w:tcPr>
            <w:tcW w:w="1275" w:type="dxa"/>
          </w:tcPr>
          <w:p w:rsidR="00D96C84" w:rsidRPr="00144BBD" w:rsidRDefault="005A1D57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3.032.500</w:t>
            </w:r>
          </w:p>
        </w:tc>
      </w:tr>
    </w:tbl>
    <w:p w:rsidR="00C645B5" w:rsidRDefault="00C645B5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C645B5" w:rsidRDefault="00C645B5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C645B5" w:rsidRDefault="00C645B5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B024D" w:rsidRDefault="003B024D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B024D" w:rsidRDefault="003B024D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3F59FB" w:rsidRDefault="003F59FB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F5706D" w:rsidRPr="00CA081D" w:rsidRDefault="00F5706D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4047AB" w:rsidRPr="00D045CA" w:rsidRDefault="004047AB" w:rsidP="004C08B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right="-25"/>
        <w:contextualSpacing/>
        <w:jc w:val="both"/>
        <w:textAlignment w:val="baseline"/>
        <w:rPr>
          <w:rFonts w:ascii="Calibri" w:eastAsia="Calibri" w:hAnsi="Calibri"/>
          <w:kern w:val="1"/>
          <w:sz w:val="28"/>
          <w:szCs w:val="28"/>
          <w:lang w:eastAsia="ar-SA"/>
        </w:rPr>
      </w:pPr>
      <w:r w:rsidRPr="00D045CA">
        <w:rPr>
          <w:rFonts w:ascii="Calibri" w:eastAsia="Calibri" w:hAnsi="Calibri"/>
          <w:b/>
          <w:kern w:val="1"/>
          <w:sz w:val="28"/>
          <w:szCs w:val="28"/>
          <w:lang w:eastAsia="ar-SA"/>
        </w:rPr>
        <w:lastRenderedPageBreak/>
        <w:t>PROGNOZOWANE PRZYCHODY I ROZCHODY BUDŻETU</w:t>
      </w:r>
    </w:p>
    <w:p w:rsidR="004047AB" w:rsidRPr="004047AB" w:rsidRDefault="004047AB" w:rsidP="004C08B2">
      <w:pPr>
        <w:widowControl w:val="0"/>
        <w:suppressAutoHyphens/>
        <w:autoSpaceDE w:val="0"/>
        <w:autoSpaceDN w:val="0"/>
        <w:adjustRightInd w:val="0"/>
        <w:ind w:right="-25"/>
        <w:contextualSpacing/>
        <w:jc w:val="both"/>
        <w:textAlignment w:val="baseline"/>
        <w:rPr>
          <w:rFonts w:ascii="Calibri" w:eastAsia="Calibri" w:hAnsi="Calibri"/>
          <w:kern w:val="1"/>
          <w:sz w:val="22"/>
          <w:szCs w:val="22"/>
          <w:lang w:eastAsia="ar-SA"/>
        </w:rPr>
      </w:pPr>
    </w:p>
    <w:p w:rsidR="004047AB" w:rsidRPr="004047AB" w:rsidRDefault="004047AB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ascii="Calibri" w:eastAsia="Calibri" w:hAnsi="Calibri"/>
          <w:kern w:val="1"/>
          <w:sz w:val="22"/>
          <w:szCs w:val="22"/>
          <w:lang w:eastAsia="ar-SA"/>
        </w:rPr>
      </w:pPr>
      <w:r w:rsidRPr="004047AB">
        <w:rPr>
          <w:rFonts w:ascii="Calibri" w:eastAsia="Calibri" w:hAnsi="Calibri"/>
          <w:kern w:val="1"/>
          <w:sz w:val="22"/>
          <w:szCs w:val="22"/>
          <w:lang w:eastAsia="ar-SA"/>
        </w:rPr>
        <w:t xml:space="preserve"> Wielkości przychodów i rozchodów z uwzględnieniem długu Gminy przedstawia poniższe zestawienie:</w:t>
      </w:r>
    </w:p>
    <w:p w:rsidR="004047AB" w:rsidRPr="004047AB" w:rsidRDefault="004047AB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b/>
          <w:kern w:val="1"/>
          <w:sz w:val="20"/>
          <w:szCs w:val="20"/>
          <w:lang w:eastAsia="ar-SA"/>
        </w:rPr>
      </w:pPr>
    </w:p>
    <w:tbl>
      <w:tblPr>
        <w:tblW w:w="8366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"/>
        <w:gridCol w:w="1417"/>
        <w:gridCol w:w="28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047AB" w:rsidRPr="004047AB" w:rsidTr="00E4154F">
        <w:trPr>
          <w:trHeight w:val="53"/>
          <w:jc w:val="center"/>
        </w:trPr>
        <w:tc>
          <w:tcPr>
            <w:tcW w:w="287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17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Treść</w:t>
            </w:r>
          </w:p>
        </w:tc>
        <w:tc>
          <w:tcPr>
            <w:tcW w:w="283" w:type="dxa"/>
          </w:tcPr>
          <w:p w:rsidR="004047AB" w:rsidRPr="004047AB" w:rsidRDefault="004047AB" w:rsidP="004C08B2">
            <w:pPr>
              <w:ind w:right="-25"/>
              <w:jc w:val="both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709" w:type="dxa"/>
          </w:tcPr>
          <w:p w:rsidR="004047AB" w:rsidRPr="004047AB" w:rsidRDefault="004047AB" w:rsidP="000C470B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09" w:type="dxa"/>
          </w:tcPr>
          <w:p w:rsidR="004047AB" w:rsidRPr="004047AB" w:rsidRDefault="004047AB" w:rsidP="000C470B">
            <w:pPr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8D5964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8" w:type="dxa"/>
          </w:tcPr>
          <w:p w:rsidR="004047AB" w:rsidRPr="004047AB" w:rsidRDefault="004047A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673153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</w:tcPr>
          <w:p w:rsidR="004047AB" w:rsidRPr="004047AB" w:rsidRDefault="004047A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BB037D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9" w:type="dxa"/>
          </w:tcPr>
          <w:p w:rsidR="004047AB" w:rsidRPr="004047AB" w:rsidRDefault="004047A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353F50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</w:tcPr>
          <w:p w:rsidR="004047AB" w:rsidRPr="004047AB" w:rsidRDefault="004047A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90752C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8" w:type="dxa"/>
          </w:tcPr>
          <w:p w:rsidR="004047AB" w:rsidRPr="004047AB" w:rsidRDefault="004047A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</w:tcPr>
          <w:p w:rsidR="004047AB" w:rsidRPr="004047AB" w:rsidRDefault="004047A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09" w:type="dxa"/>
          </w:tcPr>
          <w:p w:rsidR="004047AB" w:rsidRPr="004047AB" w:rsidRDefault="004047A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0C470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8</w:t>
            </w:r>
          </w:p>
        </w:tc>
      </w:tr>
      <w:tr w:rsidR="00BB037D" w:rsidRPr="004047AB" w:rsidTr="00E4154F">
        <w:trPr>
          <w:trHeight w:val="165"/>
          <w:jc w:val="center"/>
        </w:trPr>
        <w:tc>
          <w:tcPr>
            <w:tcW w:w="287" w:type="dxa"/>
          </w:tcPr>
          <w:p w:rsidR="00BB037D" w:rsidRPr="004047AB" w:rsidRDefault="00BB037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7" w:type="dxa"/>
          </w:tcPr>
          <w:p w:rsidR="00BB037D" w:rsidRPr="004047AB" w:rsidRDefault="00BB037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Dochody</w:t>
            </w:r>
          </w:p>
        </w:tc>
        <w:tc>
          <w:tcPr>
            <w:tcW w:w="283" w:type="dxa"/>
          </w:tcPr>
          <w:p w:rsidR="00BB037D" w:rsidRPr="004047AB" w:rsidRDefault="00BB037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BB037D" w:rsidRPr="00126BE0" w:rsidRDefault="000C470B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</w:t>
            </w:r>
            <w:r w:rsidR="00672544"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5.3</w:t>
            </w: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48.028</w:t>
            </w:r>
          </w:p>
        </w:tc>
        <w:tc>
          <w:tcPr>
            <w:tcW w:w="709" w:type="dxa"/>
          </w:tcPr>
          <w:p w:rsidR="00BB037D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35.270.000</w:t>
            </w:r>
          </w:p>
        </w:tc>
        <w:tc>
          <w:tcPr>
            <w:tcW w:w="708" w:type="dxa"/>
          </w:tcPr>
          <w:p w:rsidR="00BB037D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35.588.000</w:t>
            </w:r>
          </w:p>
        </w:tc>
        <w:tc>
          <w:tcPr>
            <w:tcW w:w="709" w:type="dxa"/>
          </w:tcPr>
          <w:p w:rsidR="00BB037D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35.805.400</w:t>
            </w:r>
          </w:p>
        </w:tc>
        <w:tc>
          <w:tcPr>
            <w:tcW w:w="709" w:type="dxa"/>
          </w:tcPr>
          <w:p w:rsidR="00BB037D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36.583.000</w:t>
            </w:r>
          </w:p>
        </w:tc>
        <w:tc>
          <w:tcPr>
            <w:tcW w:w="709" w:type="dxa"/>
          </w:tcPr>
          <w:p w:rsidR="00BB037D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37.542.000</w:t>
            </w:r>
          </w:p>
        </w:tc>
        <w:tc>
          <w:tcPr>
            <w:tcW w:w="708" w:type="dxa"/>
          </w:tcPr>
          <w:p w:rsidR="00BB037D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38.542.000</w:t>
            </w:r>
          </w:p>
        </w:tc>
        <w:tc>
          <w:tcPr>
            <w:tcW w:w="709" w:type="dxa"/>
          </w:tcPr>
          <w:p w:rsidR="00BB037D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39.612.000</w:t>
            </w:r>
          </w:p>
        </w:tc>
        <w:tc>
          <w:tcPr>
            <w:tcW w:w="709" w:type="dxa"/>
          </w:tcPr>
          <w:p w:rsidR="00BB037D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40.710.000</w:t>
            </w:r>
          </w:p>
        </w:tc>
      </w:tr>
      <w:tr w:rsidR="00BB037D" w:rsidRPr="004047AB" w:rsidTr="00E4154F">
        <w:trPr>
          <w:trHeight w:val="195"/>
          <w:jc w:val="center"/>
        </w:trPr>
        <w:tc>
          <w:tcPr>
            <w:tcW w:w="287" w:type="dxa"/>
          </w:tcPr>
          <w:p w:rsidR="00BB037D" w:rsidRPr="004047AB" w:rsidRDefault="00BB037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7" w:type="dxa"/>
          </w:tcPr>
          <w:p w:rsidR="00BB037D" w:rsidRPr="004047AB" w:rsidRDefault="00BB037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Wydatki</w:t>
            </w:r>
          </w:p>
        </w:tc>
        <w:tc>
          <w:tcPr>
            <w:tcW w:w="283" w:type="dxa"/>
          </w:tcPr>
          <w:p w:rsidR="00BB037D" w:rsidRPr="004047AB" w:rsidRDefault="00BB037D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BB037D" w:rsidRPr="00CA081D" w:rsidRDefault="000C470B" w:rsidP="008A2850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</w:t>
            </w:r>
            <w:r w:rsidR="008A2850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769</w:t>
            </w:r>
            <w:r w:rsidR="00A7199B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.978</w:t>
            </w:r>
          </w:p>
        </w:tc>
        <w:tc>
          <w:tcPr>
            <w:tcW w:w="709" w:type="dxa"/>
          </w:tcPr>
          <w:p w:rsidR="00BB037D" w:rsidRPr="00CA081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34.267.725</w:t>
            </w:r>
          </w:p>
        </w:tc>
        <w:tc>
          <w:tcPr>
            <w:tcW w:w="708" w:type="dxa"/>
          </w:tcPr>
          <w:p w:rsidR="00BB037D" w:rsidRPr="00CA081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34.574.400</w:t>
            </w:r>
          </w:p>
        </w:tc>
        <w:tc>
          <w:tcPr>
            <w:tcW w:w="709" w:type="dxa"/>
          </w:tcPr>
          <w:p w:rsidR="00BB037D" w:rsidRPr="00CA081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34.791.800</w:t>
            </w:r>
          </w:p>
        </w:tc>
        <w:tc>
          <w:tcPr>
            <w:tcW w:w="709" w:type="dxa"/>
          </w:tcPr>
          <w:p w:rsidR="00BB037D" w:rsidRPr="00CA081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35.569.400</w:t>
            </w:r>
          </w:p>
        </w:tc>
        <w:tc>
          <w:tcPr>
            <w:tcW w:w="709" w:type="dxa"/>
          </w:tcPr>
          <w:p w:rsidR="00BB037D" w:rsidRPr="00144BB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36.578.400</w:t>
            </w:r>
          </w:p>
        </w:tc>
        <w:tc>
          <w:tcPr>
            <w:tcW w:w="708" w:type="dxa"/>
          </w:tcPr>
          <w:p w:rsidR="00BB037D" w:rsidRPr="00144BB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37.566.400</w:t>
            </w:r>
          </w:p>
        </w:tc>
        <w:tc>
          <w:tcPr>
            <w:tcW w:w="709" w:type="dxa"/>
          </w:tcPr>
          <w:p w:rsidR="00BB037D" w:rsidRPr="00144BB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38.692.000</w:t>
            </w:r>
          </w:p>
        </w:tc>
        <w:tc>
          <w:tcPr>
            <w:tcW w:w="709" w:type="dxa"/>
          </w:tcPr>
          <w:p w:rsidR="00BB037D" w:rsidRPr="00144BB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39.738.038</w:t>
            </w:r>
          </w:p>
        </w:tc>
      </w:tr>
      <w:tr w:rsidR="004047AB" w:rsidRPr="004047AB" w:rsidTr="00E4154F">
        <w:trPr>
          <w:trHeight w:val="135"/>
          <w:jc w:val="center"/>
        </w:trPr>
        <w:tc>
          <w:tcPr>
            <w:tcW w:w="287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7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Wynik</w:t>
            </w:r>
          </w:p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 xml:space="preserve"> budżetu</w:t>
            </w:r>
          </w:p>
        </w:tc>
        <w:tc>
          <w:tcPr>
            <w:tcW w:w="283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4047AB" w:rsidRPr="004047AB" w:rsidRDefault="0022306A" w:rsidP="00A7199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578.050</w:t>
            </w:r>
          </w:p>
        </w:tc>
        <w:tc>
          <w:tcPr>
            <w:tcW w:w="709" w:type="dxa"/>
          </w:tcPr>
          <w:p w:rsidR="004047A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1.002.275</w:t>
            </w:r>
          </w:p>
        </w:tc>
        <w:tc>
          <w:tcPr>
            <w:tcW w:w="708" w:type="dxa"/>
          </w:tcPr>
          <w:p w:rsidR="004047A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4047AB" w:rsidRPr="004047AB" w:rsidRDefault="008D596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4047AB" w:rsidRPr="004047AB" w:rsidRDefault="008D596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4047A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963.600</w:t>
            </w:r>
          </w:p>
        </w:tc>
        <w:tc>
          <w:tcPr>
            <w:tcW w:w="708" w:type="dxa"/>
          </w:tcPr>
          <w:p w:rsidR="004047A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975.600</w:t>
            </w:r>
          </w:p>
        </w:tc>
        <w:tc>
          <w:tcPr>
            <w:tcW w:w="709" w:type="dxa"/>
          </w:tcPr>
          <w:p w:rsidR="004047A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920.000</w:t>
            </w:r>
          </w:p>
        </w:tc>
        <w:tc>
          <w:tcPr>
            <w:tcW w:w="709" w:type="dxa"/>
          </w:tcPr>
          <w:p w:rsidR="004047A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971.962</w:t>
            </w:r>
          </w:p>
        </w:tc>
      </w:tr>
      <w:tr w:rsidR="004047AB" w:rsidRPr="004047AB" w:rsidTr="00E4154F">
        <w:trPr>
          <w:trHeight w:val="150"/>
          <w:jc w:val="center"/>
        </w:trPr>
        <w:tc>
          <w:tcPr>
            <w:tcW w:w="287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17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Przychody</w:t>
            </w:r>
          </w:p>
        </w:tc>
        <w:tc>
          <w:tcPr>
            <w:tcW w:w="283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4047AB" w:rsidRPr="004047AB" w:rsidRDefault="008D596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8D596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4047AB" w:rsidRPr="004047AB" w:rsidRDefault="008D5964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AF4596" w:rsidRPr="004047AB" w:rsidTr="00E4154F">
        <w:trPr>
          <w:trHeight w:val="150"/>
          <w:jc w:val="center"/>
        </w:trPr>
        <w:tc>
          <w:tcPr>
            <w:tcW w:w="287" w:type="dxa"/>
            <w:vMerge w:val="restart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Kredyty, pożyczki</w:t>
            </w:r>
          </w:p>
        </w:tc>
        <w:tc>
          <w:tcPr>
            <w:tcW w:w="283" w:type="dxa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AF4596" w:rsidRPr="004047AB" w:rsidRDefault="008D5964" w:rsidP="00661647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AF4596" w:rsidRPr="004047AB" w:rsidRDefault="008D5964" w:rsidP="00661647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AF4596" w:rsidRPr="004047AB" w:rsidRDefault="008D5964" w:rsidP="00661647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AF4596" w:rsidRPr="004047AB" w:rsidRDefault="00AF4596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4047AB" w:rsidRPr="004047AB" w:rsidTr="00E4154F">
        <w:trPr>
          <w:trHeight w:val="172"/>
          <w:jc w:val="center"/>
        </w:trPr>
        <w:tc>
          <w:tcPr>
            <w:tcW w:w="287" w:type="dxa"/>
            <w:vMerge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 xml:space="preserve">Wolne </w:t>
            </w:r>
          </w:p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środki</w:t>
            </w:r>
          </w:p>
        </w:tc>
        <w:tc>
          <w:tcPr>
            <w:tcW w:w="283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4047AB" w:rsidRPr="004047AB" w:rsidRDefault="008A285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97.</w:t>
            </w:r>
            <w:r w:rsidR="00A7199B"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450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4047AB" w:rsidRPr="004047AB" w:rsidTr="00E4154F">
        <w:trPr>
          <w:trHeight w:val="141"/>
          <w:jc w:val="center"/>
        </w:trPr>
        <w:tc>
          <w:tcPr>
            <w:tcW w:w="287" w:type="dxa"/>
            <w:vMerge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Nadwyżka</w:t>
            </w:r>
          </w:p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 xml:space="preserve"> budżetowa  </w:t>
            </w:r>
          </w:p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 lat ubiegłych</w:t>
            </w:r>
          </w:p>
        </w:tc>
        <w:tc>
          <w:tcPr>
            <w:tcW w:w="283" w:type="dxa"/>
          </w:tcPr>
          <w:p w:rsidR="004047AB" w:rsidRPr="004047AB" w:rsidRDefault="004047A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8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709" w:type="dxa"/>
          </w:tcPr>
          <w:p w:rsidR="004047AB" w:rsidRPr="004047AB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0C470B" w:rsidRPr="004047AB" w:rsidTr="00E4154F">
        <w:trPr>
          <w:trHeight w:val="150"/>
          <w:jc w:val="center"/>
        </w:trPr>
        <w:tc>
          <w:tcPr>
            <w:tcW w:w="287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Rozchody</w:t>
            </w:r>
          </w:p>
        </w:tc>
        <w:tc>
          <w:tcPr>
            <w:tcW w:w="283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675.500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1.002.275</w:t>
            </w:r>
          </w:p>
        </w:tc>
        <w:tc>
          <w:tcPr>
            <w:tcW w:w="708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963.600</w:t>
            </w:r>
          </w:p>
        </w:tc>
        <w:tc>
          <w:tcPr>
            <w:tcW w:w="708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975.600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920.000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971.962</w:t>
            </w:r>
          </w:p>
        </w:tc>
      </w:tr>
      <w:tr w:rsidR="000C470B" w:rsidRPr="004047AB" w:rsidTr="00E4154F">
        <w:trPr>
          <w:trHeight w:val="148"/>
          <w:jc w:val="center"/>
        </w:trPr>
        <w:tc>
          <w:tcPr>
            <w:tcW w:w="287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Kredyty, pożyczki</w:t>
            </w:r>
          </w:p>
        </w:tc>
        <w:tc>
          <w:tcPr>
            <w:tcW w:w="283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4047AB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675.500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1.002.275</w:t>
            </w:r>
          </w:p>
        </w:tc>
        <w:tc>
          <w:tcPr>
            <w:tcW w:w="708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1.013.600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963.600</w:t>
            </w:r>
          </w:p>
        </w:tc>
        <w:tc>
          <w:tcPr>
            <w:tcW w:w="708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975.600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920.000</w:t>
            </w:r>
          </w:p>
        </w:tc>
        <w:tc>
          <w:tcPr>
            <w:tcW w:w="709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971.962</w:t>
            </w:r>
          </w:p>
        </w:tc>
      </w:tr>
    </w:tbl>
    <w:p w:rsidR="00E4154F" w:rsidRDefault="00E4154F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ascii="Calibri" w:eastAsia="Calibri" w:hAnsi="Calibri"/>
          <w:kern w:val="1"/>
          <w:sz w:val="22"/>
          <w:szCs w:val="22"/>
          <w:lang w:eastAsia="ar-SA"/>
        </w:rPr>
      </w:pPr>
    </w:p>
    <w:p w:rsidR="00BB037D" w:rsidRDefault="00BB037D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BB037D" w:rsidRDefault="00BB037D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872CB4" w:rsidRDefault="00872CB4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872CB4" w:rsidRDefault="00872CB4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872CB4" w:rsidRDefault="00872CB4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872CB4" w:rsidRDefault="00872CB4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tbl>
      <w:tblPr>
        <w:tblW w:w="2199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1134"/>
      </w:tblGrid>
      <w:tr w:rsidR="000C470B" w:rsidRPr="004047AB" w:rsidTr="000C470B">
        <w:trPr>
          <w:trHeight w:val="270"/>
          <w:jc w:val="center"/>
        </w:trPr>
        <w:tc>
          <w:tcPr>
            <w:tcW w:w="1065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1134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2030</w:t>
            </w:r>
          </w:p>
        </w:tc>
      </w:tr>
      <w:tr w:rsidR="000C470B" w:rsidRPr="004047AB" w:rsidTr="000C470B">
        <w:trPr>
          <w:trHeight w:val="392"/>
          <w:jc w:val="center"/>
        </w:trPr>
        <w:tc>
          <w:tcPr>
            <w:tcW w:w="1065" w:type="dxa"/>
          </w:tcPr>
          <w:p w:rsidR="000C470B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41.965.000</w:t>
            </w:r>
          </w:p>
        </w:tc>
        <w:tc>
          <w:tcPr>
            <w:tcW w:w="1134" w:type="dxa"/>
          </w:tcPr>
          <w:p w:rsidR="000C470B" w:rsidRPr="00126BE0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2"/>
                <w:szCs w:val="12"/>
                <w:lang w:eastAsia="ar-SA"/>
              </w:rPr>
              <w:t>43.127.000</w:t>
            </w:r>
          </w:p>
        </w:tc>
      </w:tr>
      <w:tr w:rsidR="000C470B" w:rsidRPr="004047AB" w:rsidTr="000C470B">
        <w:trPr>
          <w:trHeight w:val="352"/>
          <w:jc w:val="center"/>
        </w:trPr>
        <w:tc>
          <w:tcPr>
            <w:tcW w:w="1065" w:type="dxa"/>
          </w:tcPr>
          <w:p w:rsidR="000C470B" w:rsidRPr="00CA081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41.405.000</w:t>
            </w:r>
          </w:p>
        </w:tc>
        <w:tc>
          <w:tcPr>
            <w:tcW w:w="1134" w:type="dxa"/>
          </w:tcPr>
          <w:p w:rsidR="000C470B" w:rsidRPr="00144BBD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42.562.500</w:t>
            </w:r>
          </w:p>
        </w:tc>
      </w:tr>
      <w:tr w:rsidR="000C470B" w:rsidRPr="004047AB" w:rsidTr="000C470B">
        <w:trPr>
          <w:trHeight w:val="297"/>
          <w:jc w:val="center"/>
        </w:trPr>
        <w:tc>
          <w:tcPr>
            <w:tcW w:w="1065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560.000</w:t>
            </w:r>
          </w:p>
        </w:tc>
        <w:tc>
          <w:tcPr>
            <w:tcW w:w="1134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564.500</w:t>
            </w:r>
          </w:p>
        </w:tc>
      </w:tr>
      <w:tr w:rsidR="000C470B" w:rsidRPr="004047AB" w:rsidTr="000C470B">
        <w:trPr>
          <w:trHeight w:val="286"/>
          <w:jc w:val="center"/>
        </w:trPr>
        <w:tc>
          <w:tcPr>
            <w:tcW w:w="1065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1134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0C470B" w:rsidRPr="004047AB" w:rsidTr="000C470B">
        <w:trPr>
          <w:trHeight w:val="150"/>
          <w:jc w:val="center"/>
        </w:trPr>
        <w:tc>
          <w:tcPr>
            <w:tcW w:w="1065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1134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0C470B" w:rsidRPr="004047AB" w:rsidTr="000C470B">
        <w:trPr>
          <w:trHeight w:val="390"/>
          <w:jc w:val="center"/>
        </w:trPr>
        <w:tc>
          <w:tcPr>
            <w:tcW w:w="1065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1134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0C470B" w:rsidRPr="004047AB" w:rsidTr="000C470B">
        <w:trPr>
          <w:trHeight w:val="350"/>
          <w:jc w:val="center"/>
        </w:trPr>
        <w:tc>
          <w:tcPr>
            <w:tcW w:w="1065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  <w:tc>
          <w:tcPr>
            <w:tcW w:w="1134" w:type="dxa"/>
          </w:tcPr>
          <w:p w:rsidR="000C470B" w:rsidRPr="004047AB" w:rsidRDefault="000C470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0</w:t>
            </w:r>
          </w:p>
        </w:tc>
      </w:tr>
      <w:tr w:rsidR="000C470B" w:rsidRPr="004047AB" w:rsidTr="000C470B">
        <w:trPr>
          <w:trHeight w:val="338"/>
          <w:jc w:val="center"/>
        </w:trPr>
        <w:tc>
          <w:tcPr>
            <w:tcW w:w="1065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560.000</w:t>
            </w:r>
          </w:p>
        </w:tc>
        <w:tc>
          <w:tcPr>
            <w:tcW w:w="1134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564.500</w:t>
            </w:r>
          </w:p>
        </w:tc>
      </w:tr>
      <w:tr w:rsidR="000C470B" w:rsidRPr="004047AB" w:rsidTr="000C470B">
        <w:trPr>
          <w:trHeight w:val="467"/>
          <w:jc w:val="center"/>
        </w:trPr>
        <w:tc>
          <w:tcPr>
            <w:tcW w:w="1065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560.000</w:t>
            </w:r>
          </w:p>
        </w:tc>
        <w:tc>
          <w:tcPr>
            <w:tcW w:w="1134" w:type="dxa"/>
          </w:tcPr>
          <w:p w:rsidR="000C470B" w:rsidRPr="004047AB" w:rsidRDefault="000C470B" w:rsidP="000C470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10"/>
                <w:szCs w:val="10"/>
                <w:lang w:eastAsia="ar-SA"/>
              </w:rPr>
              <w:t>564.500</w:t>
            </w:r>
          </w:p>
        </w:tc>
      </w:tr>
    </w:tbl>
    <w:p w:rsidR="00BB037D" w:rsidRDefault="00BB037D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BB037D" w:rsidRDefault="00BB037D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BB037D" w:rsidRDefault="00BB037D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BB037D" w:rsidRDefault="00BB037D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</w:p>
    <w:p w:rsidR="004047AB" w:rsidRPr="004047AB" w:rsidRDefault="004047AB" w:rsidP="004C08B2">
      <w:pPr>
        <w:widowControl w:val="0"/>
        <w:suppressAutoHyphens/>
        <w:autoSpaceDE w:val="0"/>
        <w:autoSpaceDN w:val="0"/>
        <w:adjustRightInd w:val="0"/>
        <w:ind w:right="-25"/>
        <w:jc w:val="both"/>
        <w:textAlignment w:val="baseline"/>
        <w:rPr>
          <w:rFonts w:eastAsia="Calibri"/>
          <w:kern w:val="1"/>
          <w:lang w:eastAsia="ar-SA"/>
        </w:rPr>
      </w:pPr>
      <w:r w:rsidRPr="004047AB">
        <w:rPr>
          <w:rFonts w:eastAsia="Calibri"/>
          <w:kern w:val="1"/>
          <w:lang w:eastAsia="ar-SA"/>
        </w:rPr>
        <w:t>Jak wynika z powyższej tabeli w roku 20</w:t>
      </w:r>
      <w:r w:rsidR="000C470B">
        <w:rPr>
          <w:rFonts w:eastAsia="Calibri"/>
          <w:kern w:val="1"/>
          <w:lang w:eastAsia="ar-SA"/>
        </w:rPr>
        <w:t>20</w:t>
      </w:r>
      <w:r w:rsidRPr="004047AB">
        <w:rPr>
          <w:rFonts w:eastAsia="Calibri"/>
          <w:kern w:val="1"/>
          <w:lang w:eastAsia="ar-SA"/>
        </w:rPr>
        <w:t xml:space="preserve">  planuje się </w:t>
      </w:r>
      <w:r w:rsidR="008D5964">
        <w:rPr>
          <w:rFonts w:eastAsia="Calibri"/>
          <w:kern w:val="1"/>
          <w:lang w:eastAsia="ar-SA"/>
        </w:rPr>
        <w:t xml:space="preserve">nadwyżkę </w:t>
      </w:r>
      <w:r w:rsidRPr="004047AB">
        <w:rPr>
          <w:rFonts w:eastAsia="Calibri"/>
          <w:kern w:val="1"/>
          <w:lang w:eastAsia="ar-SA"/>
        </w:rPr>
        <w:t xml:space="preserve">  w wysokości</w:t>
      </w:r>
      <w:r w:rsidR="008D5964">
        <w:rPr>
          <w:rFonts w:eastAsia="Calibri"/>
          <w:kern w:val="1"/>
          <w:lang w:eastAsia="ar-SA"/>
        </w:rPr>
        <w:t xml:space="preserve"> </w:t>
      </w:r>
      <w:r w:rsidR="0022306A">
        <w:rPr>
          <w:rFonts w:eastAsia="Calibri"/>
          <w:kern w:val="1"/>
          <w:lang w:eastAsia="ar-SA"/>
        </w:rPr>
        <w:t>578</w:t>
      </w:r>
      <w:r w:rsidR="00A7199B">
        <w:rPr>
          <w:rFonts w:eastAsia="Calibri"/>
          <w:kern w:val="1"/>
          <w:lang w:eastAsia="ar-SA"/>
        </w:rPr>
        <w:t>.050</w:t>
      </w:r>
      <w:r w:rsidR="00E4154F" w:rsidRPr="00E4154F">
        <w:rPr>
          <w:rFonts w:eastAsia="Calibri"/>
          <w:kern w:val="1"/>
          <w:lang w:eastAsia="ar-SA"/>
        </w:rPr>
        <w:t>,00</w:t>
      </w:r>
      <w:r w:rsidRPr="004047AB">
        <w:rPr>
          <w:rFonts w:eastAsia="Calibri"/>
          <w:kern w:val="1"/>
          <w:lang w:eastAsia="ar-SA"/>
        </w:rPr>
        <w:t xml:space="preserve">zł , </w:t>
      </w:r>
      <w:r w:rsidR="00AF4596">
        <w:rPr>
          <w:rFonts w:eastAsia="Calibri"/>
          <w:kern w:val="1"/>
          <w:lang w:eastAsia="ar-SA"/>
        </w:rPr>
        <w:t>20</w:t>
      </w:r>
      <w:r w:rsidR="008D5964">
        <w:rPr>
          <w:rFonts w:eastAsia="Calibri"/>
          <w:kern w:val="1"/>
          <w:lang w:eastAsia="ar-SA"/>
        </w:rPr>
        <w:t>2</w:t>
      </w:r>
      <w:r w:rsidR="000C470B">
        <w:rPr>
          <w:rFonts w:eastAsia="Calibri"/>
          <w:kern w:val="1"/>
          <w:lang w:eastAsia="ar-SA"/>
        </w:rPr>
        <w:t>1</w:t>
      </w:r>
      <w:r w:rsidR="000A0D0A">
        <w:rPr>
          <w:rFonts w:eastAsia="Calibri"/>
          <w:kern w:val="1"/>
          <w:lang w:eastAsia="ar-SA"/>
        </w:rPr>
        <w:t xml:space="preserve"> </w:t>
      </w:r>
      <w:r w:rsidR="00AF4596">
        <w:rPr>
          <w:rFonts w:eastAsia="Calibri"/>
          <w:kern w:val="1"/>
          <w:lang w:eastAsia="ar-SA"/>
        </w:rPr>
        <w:t xml:space="preserve"> planuje się </w:t>
      </w:r>
      <w:r w:rsidR="000A0D0A">
        <w:rPr>
          <w:rFonts w:eastAsia="Calibri"/>
          <w:kern w:val="1"/>
          <w:lang w:eastAsia="ar-SA"/>
        </w:rPr>
        <w:t xml:space="preserve">nadwyżkę </w:t>
      </w:r>
      <w:r w:rsidR="00AF4596">
        <w:rPr>
          <w:rFonts w:eastAsia="Calibri"/>
          <w:kern w:val="1"/>
          <w:lang w:eastAsia="ar-SA"/>
        </w:rPr>
        <w:t xml:space="preserve"> w kwocie </w:t>
      </w:r>
      <w:r w:rsidR="000C470B">
        <w:rPr>
          <w:rFonts w:eastAsia="Calibri"/>
          <w:kern w:val="1"/>
          <w:lang w:eastAsia="ar-SA"/>
        </w:rPr>
        <w:t>1.002.275</w:t>
      </w:r>
      <w:r w:rsidR="00AF4596">
        <w:rPr>
          <w:rFonts w:eastAsia="Calibri"/>
          <w:kern w:val="1"/>
          <w:lang w:eastAsia="ar-SA"/>
        </w:rPr>
        <w:t>,00</w:t>
      </w:r>
      <w:r w:rsidR="00E90131">
        <w:rPr>
          <w:rFonts w:eastAsia="Calibri"/>
          <w:kern w:val="1"/>
          <w:lang w:eastAsia="ar-SA"/>
        </w:rPr>
        <w:t>,</w:t>
      </w:r>
      <w:r w:rsidR="00AF4596">
        <w:rPr>
          <w:rFonts w:eastAsia="Calibri"/>
          <w:kern w:val="1"/>
          <w:lang w:eastAsia="ar-SA"/>
        </w:rPr>
        <w:t xml:space="preserve"> w</w:t>
      </w:r>
      <w:r w:rsidRPr="004047AB">
        <w:rPr>
          <w:rFonts w:eastAsia="Calibri"/>
          <w:kern w:val="1"/>
          <w:lang w:eastAsia="ar-SA"/>
        </w:rPr>
        <w:t> kolejnych latach nadwyżki budżetowe niezbędne do spłaty zobowiązań.</w:t>
      </w:r>
    </w:p>
    <w:p w:rsidR="00E4154F" w:rsidRDefault="00E4154F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AF4596" w:rsidRPr="00E4154F" w:rsidRDefault="00AF4596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AF4596" w:rsidRDefault="004047AB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4047AB">
        <w:rPr>
          <w:rFonts w:eastAsia="Lucida Sans Unicode"/>
          <w:kern w:val="1"/>
          <w:lang w:val="x-none" w:eastAsia="ar-SA"/>
        </w:rPr>
        <w:t>Przychody budżetu Gminy w 20</w:t>
      </w:r>
      <w:r w:rsidR="000C470B">
        <w:rPr>
          <w:rFonts w:eastAsia="Lucida Sans Unicode"/>
          <w:kern w:val="1"/>
          <w:lang w:eastAsia="ar-SA"/>
        </w:rPr>
        <w:t>20</w:t>
      </w:r>
      <w:r w:rsidR="000A0D0A">
        <w:rPr>
          <w:rFonts w:eastAsia="Lucida Sans Unicode"/>
          <w:kern w:val="1"/>
          <w:lang w:eastAsia="ar-SA"/>
        </w:rPr>
        <w:t xml:space="preserve"> oraz w latach następnych nie planuje się przychodów budżetu.</w:t>
      </w:r>
    </w:p>
    <w:p w:rsidR="004047AB" w:rsidRPr="004047AB" w:rsidRDefault="00AF4596" w:rsidP="004C08B2">
      <w:pPr>
        <w:widowControl w:val="0"/>
        <w:suppressAutoHyphens/>
        <w:ind w:right="-25"/>
        <w:jc w:val="both"/>
        <w:textAlignment w:val="baseline"/>
        <w:rPr>
          <w:rFonts w:eastAsia="Calibri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lastRenderedPageBreak/>
        <w:t>Natomiast w latach 20</w:t>
      </w:r>
      <w:r w:rsidR="000C470B">
        <w:rPr>
          <w:rFonts w:eastAsia="Lucida Sans Unicode"/>
          <w:kern w:val="1"/>
          <w:lang w:eastAsia="ar-SA"/>
        </w:rPr>
        <w:t>20</w:t>
      </w:r>
      <w:r w:rsidR="004047AB" w:rsidRPr="004047AB">
        <w:rPr>
          <w:rFonts w:eastAsia="Lucida Sans Unicode"/>
          <w:kern w:val="1"/>
          <w:lang w:eastAsia="ar-SA"/>
        </w:rPr>
        <w:t xml:space="preserve"> </w:t>
      </w:r>
      <w:r w:rsidR="00353F50">
        <w:rPr>
          <w:rFonts w:eastAsia="Lucida Sans Unicode"/>
          <w:kern w:val="1"/>
          <w:lang w:eastAsia="ar-SA"/>
        </w:rPr>
        <w:t>–</w:t>
      </w:r>
      <w:r w:rsidR="004047AB" w:rsidRPr="004047AB">
        <w:rPr>
          <w:rFonts w:eastAsia="Lucida Sans Unicode"/>
          <w:kern w:val="1"/>
          <w:lang w:eastAsia="ar-SA"/>
        </w:rPr>
        <w:t xml:space="preserve"> </w:t>
      </w:r>
      <w:r w:rsidR="00E4154F" w:rsidRPr="00E4154F">
        <w:rPr>
          <w:rFonts w:eastAsia="Lucida Sans Unicode"/>
          <w:kern w:val="1"/>
          <w:lang w:eastAsia="ar-SA"/>
        </w:rPr>
        <w:t>20</w:t>
      </w:r>
      <w:r w:rsidR="00872CB4">
        <w:rPr>
          <w:rFonts w:eastAsia="Lucida Sans Unicode"/>
          <w:kern w:val="1"/>
          <w:lang w:eastAsia="ar-SA"/>
        </w:rPr>
        <w:t>3</w:t>
      </w:r>
      <w:r w:rsidR="00904AA4">
        <w:rPr>
          <w:rFonts w:eastAsia="Lucida Sans Unicode"/>
          <w:kern w:val="1"/>
          <w:lang w:eastAsia="ar-SA"/>
        </w:rPr>
        <w:t>0</w:t>
      </w:r>
      <w:r w:rsidR="00353F50">
        <w:rPr>
          <w:rFonts w:eastAsia="Lucida Sans Unicode"/>
          <w:kern w:val="1"/>
          <w:lang w:eastAsia="ar-SA"/>
        </w:rPr>
        <w:t xml:space="preserve"> </w:t>
      </w:r>
      <w:r w:rsidR="004047AB" w:rsidRPr="004047AB">
        <w:rPr>
          <w:rFonts w:eastAsia="Lucida Sans Unicode"/>
          <w:kern w:val="1"/>
          <w:lang w:eastAsia="ar-SA"/>
        </w:rPr>
        <w:t>Gmina planuje wyłącznie rozchody zmniejszające dług, czyli spłaty rat kredytów i pożyczek</w:t>
      </w:r>
      <w:r w:rsidR="00390920">
        <w:rPr>
          <w:rFonts w:eastAsia="Lucida Sans Unicode"/>
          <w:kern w:val="1"/>
          <w:lang w:eastAsia="ar-SA"/>
        </w:rPr>
        <w:t>.</w:t>
      </w:r>
      <w:r w:rsidR="004047AB" w:rsidRPr="004047AB">
        <w:rPr>
          <w:rFonts w:eastAsia="Lucida Sans Unicode"/>
          <w:kern w:val="1"/>
          <w:lang w:eastAsia="ar-SA"/>
        </w:rPr>
        <w:t xml:space="preserve"> </w:t>
      </w:r>
    </w:p>
    <w:p w:rsidR="004047AB" w:rsidRPr="004047AB" w:rsidRDefault="004047AB" w:rsidP="004C08B2">
      <w:pPr>
        <w:widowControl w:val="0"/>
        <w:tabs>
          <w:tab w:val="left" w:pos="885"/>
          <w:tab w:val="left" w:pos="1140"/>
          <w:tab w:val="left" w:pos="1170"/>
          <w:tab w:val="left" w:pos="1200"/>
        </w:tabs>
        <w:suppressAutoHyphens/>
        <w:ind w:right="-25"/>
        <w:jc w:val="both"/>
        <w:textAlignment w:val="baseline"/>
        <w:rPr>
          <w:rFonts w:eastAsia="Lucida Sans Unicode"/>
          <w:color w:val="000000"/>
          <w:kern w:val="1"/>
          <w:lang w:eastAsia="ar-SA"/>
        </w:rPr>
      </w:pPr>
    </w:p>
    <w:p w:rsidR="00D045CA" w:rsidRDefault="00D045CA" w:rsidP="004C08B2">
      <w:pPr>
        <w:widowControl w:val="0"/>
        <w:tabs>
          <w:tab w:val="left" w:pos="885"/>
          <w:tab w:val="left" w:pos="1140"/>
          <w:tab w:val="left" w:pos="1170"/>
          <w:tab w:val="left" w:pos="1200"/>
        </w:tabs>
        <w:suppressAutoHyphens/>
        <w:ind w:right="-25"/>
        <w:jc w:val="both"/>
        <w:textAlignment w:val="baseline"/>
        <w:rPr>
          <w:rFonts w:eastAsia="Lucida Sans Unicode"/>
          <w:b/>
          <w:bCs/>
          <w:color w:val="000000"/>
          <w:kern w:val="1"/>
          <w:sz w:val="28"/>
          <w:szCs w:val="28"/>
          <w:lang w:eastAsia="ar-SA"/>
        </w:rPr>
      </w:pPr>
    </w:p>
    <w:p w:rsidR="00F5706D" w:rsidRDefault="00F5706D" w:rsidP="004C08B2">
      <w:pPr>
        <w:widowControl w:val="0"/>
        <w:tabs>
          <w:tab w:val="left" w:pos="885"/>
          <w:tab w:val="left" w:pos="1140"/>
          <w:tab w:val="left" w:pos="1170"/>
          <w:tab w:val="left" w:pos="1200"/>
        </w:tabs>
        <w:suppressAutoHyphens/>
        <w:ind w:right="-25"/>
        <w:jc w:val="both"/>
        <w:textAlignment w:val="baseline"/>
        <w:rPr>
          <w:rFonts w:eastAsia="Lucida Sans Unicode"/>
          <w:b/>
          <w:bCs/>
          <w:color w:val="000000"/>
          <w:kern w:val="1"/>
          <w:sz w:val="28"/>
          <w:szCs w:val="28"/>
          <w:lang w:eastAsia="ar-SA"/>
        </w:rPr>
      </w:pPr>
    </w:p>
    <w:p w:rsidR="00E4154F" w:rsidRDefault="00D045CA" w:rsidP="004C08B2">
      <w:pPr>
        <w:widowControl w:val="0"/>
        <w:tabs>
          <w:tab w:val="left" w:pos="885"/>
          <w:tab w:val="left" w:pos="1140"/>
          <w:tab w:val="left" w:pos="1170"/>
          <w:tab w:val="left" w:pos="1200"/>
        </w:tabs>
        <w:suppressAutoHyphens/>
        <w:ind w:right="-25"/>
        <w:jc w:val="center"/>
        <w:textAlignment w:val="baseline"/>
        <w:rPr>
          <w:rFonts w:eastAsia="Lucida Sans Unicode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eastAsia="Lucida Sans Unicode"/>
          <w:b/>
          <w:bCs/>
          <w:color w:val="000000"/>
          <w:kern w:val="1"/>
          <w:sz w:val="28"/>
          <w:szCs w:val="28"/>
          <w:lang w:eastAsia="ar-SA"/>
        </w:rPr>
        <w:t xml:space="preserve">IV </w:t>
      </w:r>
      <w:r w:rsidR="00E4154F" w:rsidRPr="00D045CA">
        <w:rPr>
          <w:rFonts w:eastAsia="Lucida Sans Unicode"/>
          <w:b/>
          <w:bCs/>
          <w:color w:val="000000"/>
          <w:kern w:val="1"/>
          <w:sz w:val="28"/>
          <w:szCs w:val="28"/>
          <w:lang w:val="x-none" w:eastAsia="ar-SA"/>
        </w:rPr>
        <w:t>PROGNOZA DŁUGU</w:t>
      </w:r>
    </w:p>
    <w:p w:rsidR="00D045CA" w:rsidRPr="00D045CA" w:rsidRDefault="00D045CA" w:rsidP="004C08B2">
      <w:pPr>
        <w:widowControl w:val="0"/>
        <w:tabs>
          <w:tab w:val="left" w:pos="885"/>
          <w:tab w:val="left" w:pos="1140"/>
          <w:tab w:val="left" w:pos="1170"/>
          <w:tab w:val="left" w:pos="1200"/>
        </w:tabs>
        <w:suppressAutoHyphens/>
        <w:ind w:right="-25"/>
        <w:jc w:val="both"/>
        <w:textAlignment w:val="baseline"/>
        <w:rPr>
          <w:rFonts w:eastAsia="Lucida Sans Unicode"/>
          <w:b/>
          <w:bCs/>
          <w:color w:val="000000"/>
          <w:kern w:val="1"/>
          <w:sz w:val="28"/>
          <w:szCs w:val="28"/>
          <w:lang w:eastAsia="ar-SA"/>
        </w:rPr>
      </w:pPr>
    </w:p>
    <w:p w:rsidR="00E4154F" w:rsidRPr="00E4154F" w:rsidRDefault="00E4154F" w:rsidP="004C08B2">
      <w:pPr>
        <w:widowControl w:val="0"/>
        <w:suppressAutoHyphens/>
        <w:ind w:right="-23"/>
        <w:jc w:val="both"/>
        <w:textAlignment w:val="baseline"/>
        <w:rPr>
          <w:rFonts w:eastAsia="Lucida Sans Unicode"/>
          <w:kern w:val="1"/>
          <w:lang w:eastAsia="ar-SA"/>
        </w:rPr>
      </w:pPr>
      <w:r w:rsidRPr="00E4154F">
        <w:rPr>
          <w:rFonts w:eastAsia="Lucida Sans Unicode"/>
          <w:kern w:val="1"/>
          <w:lang w:eastAsia="ar-SA"/>
        </w:rPr>
        <w:t>Zgodnie z obowiązującymi przepisami dla budżetów jednostek samorządu terytorialnego od 2014 roku zastosowanie będą miały przepisy art. 243-244 ustawy z dnia 27 sierpnia 2009 roku o finansach publicznych. Zgodnie z nimi Gmina nie będzie mogła uchwalić budżetu, którego realizacja spowoduje, że w roku budżetowym oraz w każdym kolejnym roku relacja łącznej kwoty przeznaczonej na obsługę zadłużenia (suma spłat rat kredytów i pożyczek, wraz z należnymi w danym roku odsetkami, wykupów papierów wartościowych wraz z należnymi odsetkami i dyskontem oraz potencjalne spłaty kwot wynikające z udzielonych poręczeń oraz gwarancji) do dochodów ogółem budżetu przekroczy średnią arytmetyczną z ostatnich trzech lat relacji jej dochodów bieżących powiększonych o dochody ze sprzedaży majątku oraz pomniejszonych o wydatki bieżące, do dochodów ogółem budżetu. Nowy sposób limitowania zadłużenia oparty jest wprost na saldzie operacyjnym powiększonym o dochody ze sprzedaży majątku.</w:t>
      </w:r>
    </w:p>
    <w:p w:rsidR="00E4154F" w:rsidRPr="00E4154F" w:rsidRDefault="00E4154F" w:rsidP="004C08B2">
      <w:pPr>
        <w:widowControl w:val="0"/>
        <w:suppressAutoHyphens/>
        <w:ind w:right="-23"/>
        <w:jc w:val="both"/>
        <w:textAlignment w:val="baseline"/>
        <w:rPr>
          <w:rFonts w:eastAsia="Lucida Sans Unicode"/>
          <w:kern w:val="1"/>
          <w:lang w:eastAsia="ar-SA"/>
        </w:rPr>
      </w:pPr>
      <w:r w:rsidRPr="00E4154F">
        <w:rPr>
          <w:rFonts w:eastAsia="Lucida Sans Unicode"/>
          <w:kern w:val="1"/>
          <w:lang w:eastAsia="ar-SA"/>
        </w:rPr>
        <w:t>Wartość relacji obowiązująca od 20</w:t>
      </w:r>
      <w:r w:rsidR="000C470B">
        <w:rPr>
          <w:rFonts w:eastAsia="Lucida Sans Unicode"/>
          <w:kern w:val="1"/>
          <w:lang w:eastAsia="ar-SA"/>
        </w:rPr>
        <w:t>20</w:t>
      </w:r>
      <w:r w:rsidRPr="00E4154F">
        <w:rPr>
          <w:rFonts w:eastAsia="Lucida Sans Unicode"/>
          <w:kern w:val="1"/>
          <w:lang w:eastAsia="ar-SA"/>
        </w:rPr>
        <w:t xml:space="preserve"> roku, w tym po zastosowaniu ustawowych </w:t>
      </w:r>
      <w:proofErr w:type="spellStart"/>
      <w:r w:rsidRPr="00E4154F">
        <w:rPr>
          <w:rFonts w:eastAsia="Lucida Sans Unicode"/>
          <w:kern w:val="1"/>
          <w:lang w:eastAsia="ar-SA"/>
        </w:rPr>
        <w:t>wyłączeń</w:t>
      </w:r>
      <w:proofErr w:type="spellEnd"/>
      <w:r w:rsidRPr="00E4154F">
        <w:rPr>
          <w:rFonts w:eastAsia="Lucida Sans Unicode"/>
          <w:kern w:val="1"/>
          <w:lang w:eastAsia="ar-SA"/>
        </w:rPr>
        <w:t xml:space="preserve"> zaprezentowano w tabeli poniżej:</w:t>
      </w:r>
    </w:p>
    <w:p w:rsidR="00E4154F" w:rsidRPr="00E4154F" w:rsidRDefault="00E4154F" w:rsidP="004C08B2">
      <w:pPr>
        <w:widowControl w:val="0"/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tbl>
      <w:tblPr>
        <w:tblW w:w="6662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2976"/>
      </w:tblGrid>
      <w:tr w:rsidR="00E4154F" w:rsidRPr="00E4154F" w:rsidTr="00F543BB">
        <w:trPr>
          <w:trHeight w:val="461"/>
        </w:trPr>
        <w:tc>
          <w:tcPr>
            <w:tcW w:w="1418" w:type="dxa"/>
            <w:vAlign w:val="center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Lata objęte</w:t>
            </w:r>
          </w:p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zadłużeniem</w:t>
            </w:r>
          </w:p>
        </w:tc>
        <w:tc>
          <w:tcPr>
            <w:tcW w:w="425" w:type="dxa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proofErr w:type="spellStart"/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Jm</w:t>
            </w:r>
            <w:proofErr w:type="spellEnd"/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.</w:t>
            </w:r>
          </w:p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Prognozowany</w:t>
            </w:r>
          </w:p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indywidualny</w:t>
            </w:r>
          </w:p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wskaźnik zadłużenia</w:t>
            </w:r>
            <w:r w:rsidR="008B4339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 xml:space="preserve"> po </w:t>
            </w:r>
            <w:proofErr w:type="spellStart"/>
            <w:r w:rsidR="008B4339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wyłączeniach</w:t>
            </w:r>
            <w:proofErr w:type="spellEnd"/>
          </w:p>
        </w:tc>
        <w:tc>
          <w:tcPr>
            <w:tcW w:w="2976" w:type="dxa"/>
            <w:vAlign w:val="center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Dopuszczalny  maksymalny</w:t>
            </w:r>
          </w:p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wskaźnik zadłużenia</w:t>
            </w:r>
          </w:p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wyliczony  wg art.243</w:t>
            </w:r>
            <w:r w:rsidR="008B4339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 xml:space="preserve"> po </w:t>
            </w:r>
            <w:proofErr w:type="spellStart"/>
            <w:r w:rsidR="008B4339">
              <w:rPr>
                <w:rFonts w:ascii="Calibri" w:eastAsia="Lucida Sans Unicode" w:hAnsi="Calibri"/>
                <w:b/>
                <w:kern w:val="1"/>
                <w:sz w:val="16"/>
                <w:szCs w:val="16"/>
                <w:lang w:eastAsia="ar-SA"/>
              </w:rPr>
              <w:t>wyłączeniach</w:t>
            </w:r>
            <w:proofErr w:type="spellEnd"/>
          </w:p>
        </w:tc>
      </w:tr>
      <w:tr w:rsidR="00E4154F" w:rsidRPr="00E4154F" w:rsidTr="00F543BB">
        <w:trPr>
          <w:trHeight w:val="195"/>
        </w:trPr>
        <w:tc>
          <w:tcPr>
            <w:tcW w:w="1418" w:type="dxa"/>
          </w:tcPr>
          <w:p w:rsidR="00E4154F" w:rsidRPr="00E4154F" w:rsidRDefault="00E4154F" w:rsidP="00A07533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A07533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25" w:type="dxa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E4154F" w:rsidRPr="00E4154F" w:rsidRDefault="001C0C6B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4,</w:t>
            </w:r>
            <w:r w:rsidR="00672544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2976" w:type="dxa"/>
          </w:tcPr>
          <w:p w:rsidR="00E4154F" w:rsidRPr="00E4154F" w:rsidRDefault="001C0C6B" w:rsidP="0008225B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12,03</w:t>
            </w:r>
          </w:p>
        </w:tc>
      </w:tr>
      <w:tr w:rsidR="00E4154F" w:rsidRPr="00E4154F" w:rsidTr="00F543BB">
        <w:trPr>
          <w:trHeight w:val="170"/>
        </w:trPr>
        <w:tc>
          <w:tcPr>
            <w:tcW w:w="1418" w:type="dxa"/>
          </w:tcPr>
          <w:p w:rsidR="00E4154F" w:rsidRPr="00E4154F" w:rsidRDefault="00A0753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425" w:type="dxa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E4154F" w:rsidRPr="00E4154F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5,51</w:t>
            </w:r>
          </w:p>
        </w:tc>
        <w:tc>
          <w:tcPr>
            <w:tcW w:w="2976" w:type="dxa"/>
          </w:tcPr>
          <w:p w:rsidR="00E4154F" w:rsidRPr="00E4154F" w:rsidRDefault="001C0C6B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12,3</w:t>
            </w:r>
            <w:r w:rsidR="00672544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0</w:t>
            </w:r>
          </w:p>
        </w:tc>
      </w:tr>
      <w:tr w:rsidR="00E4154F" w:rsidRPr="00E4154F" w:rsidTr="00F543BB">
        <w:trPr>
          <w:trHeight w:val="121"/>
        </w:trPr>
        <w:tc>
          <w:tcPr>
            <w:tcW w:w="1418" w:type="dxa"/>
          </w:tcPr>
          <w:p w:rsidR="00E4154F" w:rsidRPr="00E4154F" w:rsidRDefault="00353F5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</w:t>
            </w:r>
            <w:r w:rsidR="00A07533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425" w:type="dxa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E4154F" w:rsidRPr="00E4154F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5,46</w:t>
            </w:r>
          </w:p>
        </w:tc>
        <w:tc>
          <w:tcPr>
            <w:tcW w:w="2976" w:type="dxa"/>
          </w:tcPr>
          <w:p w:rsidR="00E4154F" w:rsidRPr="00E4154F" w:rsidRDefault="001C0C6B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12,</w:t>
            </w:r>
            <w:r w:rsidR="00672544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58</w:t>
            </w:r>
          </w:p>
        </w:tc>
      </w:tr>
      <w:tr w:rsidR="00E4154F" w:rsidRPr="00E4154F" w:rsidTr="00F543BB">
        <w:trPr>
          <w:trHeight w:val="150"/>
        </w:trPr>
        <w:tc>
          <w:tcPr>
            <w:tcW w:w="1418" w:type="dxa"/>
          </w:tcPr>
          <w:p w:rsidR="00E4154F" w:rsidRPr="00E4154F" w:rsidRDefault="00353F5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A07533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25" w:type="dxa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E4154F" w:rsidRPr="00E4154F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5,44</w:t>
            </w:r>
          </w:p>
        </w:tc>
        <w:tc>
          <w:tcPr>
            <w:tcW w:w="2976" w:type="dxa"/>
          </w:tcPr>
          <w:p w:rsidR="00E4154F" w:rsidRPr="00E4154F" w:rsidRDefault="001C0C6B" w:rsidP="00672544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13,</w:t>
            </w:r>
            <w:r w:rsidR="00672544"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64</w:t>
            </w:r>
          </w:p>
        </w:tc>
      </w:tr>
      <w:tr w:rsidR="00E4154F" w:rsidRPr="00E4154F" w:rsidTr="00F543BB">
        <w:trPr>
          <w:trHeight w:val="129"/>
        </w:trPr>
        <w:tc>
          <w:tcPr>
            <w:tcW w:w="1418" w:type="dxa"/>
          </w:tcPr>
          <w:p w:rsidR="00E4154F" w:rsidRPr="00E4154F" w:rsidRDefault="00353F5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A07533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" w:type="dxa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E4154F" w:rsidRPr="00E4154F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5,36</w:t>
            </w:r>
          </w:p>
        </w:tc>
        <w:tc>
          <w:tcPr>
            <w:tcW w:w="2976" w:type="dxa"/>
          </w:tcPr>
          <w:p w:rsidR="00E4154F" w:rsidRPr="00E4154F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13,81</w:t>
            </w:r>
          </w:p>
        </w:tc>
      </w:tr>
      <w:tr w:rsidR="00E4154F" w:rsidRPr="00E4154F" w:rsidTr="00F543BB">
        <w:trPr>
          <w:trHeight w:val="180"/>
        </w:trPr>
        <w:tc>
          <w:tcPr>
            <w:tcW w:w="1418" w:type="dxa"/>
          </w:tcPr>
          <w:p w:rsidR="00E4154F" w:rsidRPr="00E4154F" w:rsidRDefault="0039092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A07533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5" w:type="dxa"/>
          </w:tcPr>
          <w:p w:rsidR="00E4154F" w:rsidRPr="00E4154F" w:rsidRDefault="00E4154F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 w:rsidRPr="00E4154F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E4154F" w:rsidRPr="00E4154F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4,98</w:t>
            </w:r>
          </w:p>
        </w:tc>
        <w:tc>
          <w:tcPr>
            <w:tcW w:w="2976" w:type="dxa"/>
          </w:tcPr>
          <w:p w:rsidR="00E4154F" w:rsidRPr="00E4154F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13,67</w:t>
            </w:r>
          </w:p>
        </w:tc>
      </w:tr>
      <w:tr w:rsidR="008B4339" w:rsidRPr="00E4154F" w:rsidTr="00F543BB">
        <w:trPr>
          <w:trHeight w:val="180"/>
        </w:trPr>
        <w:tc>
          <w:tcPr>
            <w:tcW w:w="1418" w:type="dxa"/>
          </w:tcPr>
          <w:p w:rsidR="008B4339" w:rsidRPr="00E4154F" w:rsidRDefault="00353F5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A07533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5" w:type="dxa"/>
          </w:tcPr>
          <w:p w:rsidR="008B4339" w:rsidRPr="00E4154F" w:rsidRDefault="008B4339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8B4339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4,90</w:t>
            </w:r>
          </w:p>
        </w:tc>
        <w:tc>
          <w:tcPr>
            <w:tcW w:w="2976" w:type="dxa"/>
          </w:tcPr>
          <w:p w:rsidR="008B4339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13,65</w:t>
            </w:r>
          </w:p>
        </w:tc>
      </w:tr>
      <w:tr w:rsidR="008B4339" w:rsidRPr="00E4154F" w:rsidTr="00F543BB">
        <w:trPr>
          <w:trHeight w:val="180"/>
        </w:trPr>
        <w:tc>
          <w:tcPr>
            <w:tcW w:w="1418" w:type="dxa"/>
          </w:tcPr>
          <w:p w:rsidR="008B4339" w:rsidRPr="00E4154F" w:rsidRDefault="00353F50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</w:t>
            </w:r>
            <w:r w:rsidR="00A07533"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5" w:type="dxa"/>
          </w:tcPr>
          <w:p w:rsidR="008B4339" w:rsidRPr="00E4154F" w:rsidRDefault="008B4339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8B4339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4,49</w:t>
            </w:r>
          </w:p>
        </w:tc>
        <w:tc>
          <w:tcPr>
            <w:tcW w:w="2976" w:type="dxa"/>
          </w:tcPr>
          <w:p w:rsidR="008B4339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14,19</w:t>
            </w:r>
          </w:p>
        </w:tc>
      </w:tr>
      <w:tr w:rsidR="00872CB4" w:rsidRPr="00E4154F" w:rsidTr="00F543BB">
        <w:trPr>
          <w:trHeight w:val="180"/>
        </w:trPr>
        <w:tc>
          <w:tcPr>
            <w:tcW w:w="1418" w:type="dxa"/>
          </w:tcPr>
          <w:p w:rsidR="00872CB4" w:rsidRDefault="00A0753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425" w:type="dxa"/>
          </w:tcPr>
          <w:p w:rsidR="00872CB4" w:rsidRDefault="00304F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872CB4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4,49</w:t>
            </w:r>
          </w:p>
        </w:tc>
        <w:tc>
          <w:tcPr>
            <w:tcW w:w="2976" w:type="dxa"/>
          </w:tcPr>
          <w:p w:rsidR="00872CB4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14,10</w:t>
            </w:r>
          </w:p>
        </w:tc>
      </w:tr>
      <w:tr w:rsidR="00872CB4" w:rsidRPr="00E4154F" w:rsidTr="00F543BB">
        <w:trPr>
          <w:trHeight w:val="180"/>
        </w:trPr>
        <w:tc>
          <w:tcPr>
            <w:tcW w:w="1418" w:type="dxa"/>
          </w:tcPr>
          <w:p w:rsidR="00872CB4" w:rsidRDefault="00A0753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425" w:type="dxa"/>
          </w:tcPr>
          <w:p w:rsidR="00872CB4" w:rsidRDefault="00304F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872CB4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2,63</w:t>
            </w:r>
          </w:p>
        </w:tc>
        <w:tc>
          <w:tcPr>
            <w:tcW w:w="2976" w:type="dxa"/>
          </w:tcPr>
          <w:p w:rsidR="00872CB4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13,98</w:t>
            </w:r>
          </w:p>
        </w:tc>
      </w:tr>
      <w:tr w:rsidR="00872CB4" w:rsidRPr="00E4154F" w:rsidTr="00F543BB">
        <w:trPr>
          <w:trHeight w:val="180"/>
        </w:trPr>
        <w:tc>
          <w:tcPr>
            <w:tcW w:w="1418" w:type="dxa"/>
          </w:tcPr>
          <w:p w:rsidR="00872CB4" w:rsidRDefault="00A07533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2030</w:t>
            </w:r>
          </w:p>
        </w:tc>
        <w:tc>
          <w:tcPr>
            <w:tcW w:w="425" w:type="dxa"/>
          </w:tcPr>
          <w:p w:rsidR="00872CB4" w:rsidRDefault="00304FA8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b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843" w:type="dxa"/>
          </w:tcPr>
          <w:p w:rsidR="00872CB4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2,42</w:t>
            </w:r>
          </w:p>
        </w:tc>
        <w:tc>
          <w:tcPr>
            <w:tcW w:w="2976" w:type="dxa"/>
          </w:tcPr>
          <w:p w:rsidR="00872CB4" w:rsidRDefault="001C0C6B" w:rsidP="004C08B2">
            <w:pPr>
              <w:widowControl w:val="0"/>
              <w:suppressAutoHyphens/>
              <w:ind w:right="-25"/>
              <w:jc w:val="both"/>
              <w:textAlignment w:val="baseline"/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Lucida Sans Unicode" w:hAnsi="Calibri"/>
                <w:kern w:val="1"/>
                <w:sz w:val="20"/>
                <w:szCs w:val="20"/>
                <w:lang w:eastAsia="ar-SA"/>
              </w:rPr>
              <w:t>13,87</w:t>
            </w:r>
          </w:p>
        </w:tc>
      </w:tr>
    </w:tbl>
    <w:p w:rsidR="00E4154F" w:rsidRPr="00E4154F" w:rsidRDefault="00E4154F" w:rsidP="004C08B2">
      <w:pPr>
        <w:widowControl w:val="0"/>
        <w:suppressAutoHyphens/>
        <w:ind w:right="-25"/>
        <w:jc w:val="both"/>
        <w:textAlignment w:val="baseline"/>
        <w:rPr>
          <w:rFonts w:ascii="Calibri" w:eastAsia="Lucida Sans Unicode" w:hAnsi="Calibri"/>
          <w:kern w:val="1"/>
          <w:sz w:val="22"/>
          <w:szCs w:val="22"/>
          <w:lang w:eastAsia="ar-SA"/>
        </w:rPr>
      </w:pPr>
    </w:p>
    <w:p w:rsidR="00E4154F" w:rsidRPr="00F543BB" w:rsidRDefault="00E4154F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F543BB">
        <w:rPr>
          <w:rFonts w:eastAsia="Lucida Sans Unicode"/>
          <w:kern w:val="1"/>
          <w:lang w:eastAsia="ar-SA"/>
        </w:rPr>
        <w:t xml:space="preserve">W latach </w:t>
      </w:r>
      <w:r w:rsidR="008B4339" w:rsidRPr="00F543BB">
        <w:rPr>
          <w:rFonts w:eastAsia="Lucida Sans Unicode"/>
          <w:kern w:val="1"/>
          <w:lang w:eastAsia="ar-SA"/>
        </w:rPr>
        <w:t>20</w:t>
      </w:r>
      <w:r w:rsidR="000C470B">
        <w:rPr>
          <w:rFonts w:eastAsia="Lucida Sans Unicode"/>
          <w:kern w:val="1"/>
          <w:lang w:eastAsia="ar-SA"/>
        </w:rPr>
        <w:t>20</w:t>
      </w:r>
      <w:r w:rsidR="008B4339" w:rsidRPr="00F543BB">
        <w:rPr>
          <w:rFonts w:eastAsia="Lucida Sans Unicode"/>
          <w:kern w:val="1"/>
          <w:lang w:eastAsia="ar-SA"/>
        </w:rPr>
        <w:t>-20</w:t>
      </w:r>
      <w:r w:rsidR="00AF1907">
        <w:rPr>
          <w:rFonts w:eastAsia="Lucida Sans Unicode"/>
          <w:kern w:val="1"/>
          <w:lang w:eastAsia="ar-SA"/>
        </w:rPr>
        <w:t>3</w:t>
      </w:r>
      <w:r w:rsidR="00904AA4">
        <w:rPr>
          <w:rFonts w:eastAsia="Lucida Sans Unicode"/>
          <w:kern w:val="1"/>
          <w:lang w:eastAsia="ar-SA"/>
        </w:rPr>
        <w:t>0</w:t>
      </w:r>
      <w:r w:rsidR="008B4339" w:rsidRPr="00F543BB">
        <w:rPr>
          <w:rFonts w:eastAsia="Lucida Sans Unicode"/>
          <w:kern w:val="1"/>
          <w:lang w:eastAsia="ar-SA"/>
        </w:rPr>
        <w:t xml:space="preserve"> </w:t>
      </w:r>
      <w:r w:rsidRPr="00F543BB">
        <w:rPr>
          <w:rFonts w:eastAsia="Lucida Sans Unicode"/>
          <w:kern w:val="1"/>
          <w:lang w:eastAsia="ar-SA"/>
        </w:rPr>
        <w:t xml:space="preserve">indywidualny wskaźnik </w:t>
      </w:r>
      <w:r w:rsidR="008B4339" w:rsidRPr="00F543BB">
        <w:rPr>
          <w:rFonts w:eastAsia="Lucida Sans Unicode"/>
          <w:kern w:val="1"/>
          <w:lang w:eastAsia="ar-SA"/>
        </w:rPr>
        <w:t xml:space="preserve">planowanej łącznej kwoty spłaty zobowiązań  o której mowa w art. 243 po uwzględnieniu </w:t>
      </w:r>
      <w:proofErr w:type="spellStart"/>
      <w:r w:rsidR="008B4339" w:rsidRPr="00F543BB">
        <w:rPr>
          <w:rFonts w:eastAsia="Lucida Sans Unicode"/>
          <w:kern w:val="1"/>
          <w:lang w:eastAsia="ar-SA"/>
        </w:rPr>
        <w:t>wyłączeń</w:t>
      </w:r>
      <w:proofErr w:type="spellEnd"/>
      <w:r w:rsidR="008B4339" w:rsidRPr="00F543BB">
        <w:rPr>
          <w:rFonts w:eastAsia="Lucida Sans Unicode"/>
          <w:kern w:val="1"/>
          <w:lang w:eastAsia="ar-SA"/>
        </w:rPr>
        <w:t xml:space="preserve"> </w:t>
      </w:r>
      <w:r w:rsidRPr="00F543BB">
        <w:rPr>
          <w:rFonts w:eastAsia="Lucida Sans Unicode"/>
          <w:kern w:val="1"/>
          <w:lang w:eastAsia="ar-SA"/>
        </w:rPr>
        <w:t xml:space="preserve"> kształtuje się poniżej dopuszczalnego wskaźnika poziomu określonego w w/w przepisie.  </w:t>
      </w:r>
    </w:p>
    <w:p w:rsidR="00EB42D8" w:rsidRDefault="00EB42D8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</w:pPr>
    </w:p>
    <w:p w:rsidR="00EB42D8" w:rsidRDefault="00EB42D8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</w:pPr>
    </w:p>
    <w:p w:rsidR="00EB42D8" w:rsidRDefault="00EB42D8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</w:pPr>
    </w:p>
    <w:p w:rsidR="009043C5" w:rsidRDefault="009043C5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  <w:rPr>
          <w:kern w:val="1"/>
          <w:lang w:eastAsia="ar-SA"/>
        </w:rPr>
      </w:pPr>
      <w:r>
        <w:t xml:space="preserve">. </w:t>
      </w:r>
    </w:p>
    <w:p w:rsidR="00E4154F" w:rsidRPr="00F543BB" w:rsidRDefault="00E4154F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  <w:rPr>
          <w:kern w:val="1"/>
          <w:lang w:eastAsia="ar-SA"/>
        </w:rPr>
      </w:pPr>
      <w:r w:rsidRPr="00F543BB">
        <w:rPr>
          <w:kern w:val="1"/>
          <w:lang w:eastAsia="ar-SA"/>
        </w:rPr>
        <w:t>W latach 20</w:t>
      </w:r>
      <w:r w:rsidR="00BB5BAD">
        <w:rPr>
          <w:kern w:val="1"/>
          <w:lang w:eastAsia="ar-SA"/>
        </w:rPr>
        <w:t>20</w:t>
      </w:r>
      <w:r w:rsidRPr="00F543BB">
        <w:rPr>
          <w:kern w:val="1"/>
          <w:lang w:eastAsia="ar-SA"/>
        </w:rPr>
        <w:t>-20</w:t>
      </w:r>
      <w:r w:rsidR="00AF1907">
        <w:rPr>
          <w:kern w:val="1"/>
          <w:lang w:eastAsia="ar-SA"/>
        </w:rPr>
        <w:t>3</w:t>
      </w:r>
      <w:r w:rsidR="00904AA4">
        <w:rPr>
          <w:kern w:val="1"/>
          <w:lang w:eastAsia="ar-SA"/>
        </w:rPr>
        <w:t>0</w:t>
      </w:r>
      <w:r w:rsidR="008B4339" w:rsidRPr="00F543BB">
        <w:rPr>
          <w:kern w:val="1"/>
          <w:lang w:eastAsia="ar-SA"/>
        </w:rPr>
        <w:t xml:space="preserve"> n</w:t>
      </w:r>
      <w:r w:rsidRPr="00F543BB">
        <w:rPr>
          <w:kern w:val="1"/>
          <w:lang w:eastAsia="ar-SA"/>
        </w:rPr>
        <w:t>ie jest planowane zaciąganie dodatkowych kredytów, tak więc w planowanym poziomie zadłużenia na koniec poszczególnych lat uwzględniono jedynie spłaty rat kredytów wynikające z harmonogramów spłat zawartych w umowach kredytowych.</w:t>
      </w:r>
    </w:p>
    <w:p w:rsidR="00E4154F" w:rsidRDefault="00E4154F" w:rsidP="004C08B2">
      <w:pPr>
        <w:tabs>
          <w:tab w:val="left" w:pos="142"/>
        </w:tabs>
        <w:ind w:right="-25"/>
        <w:jc w:val="both"/>
        <w:rPr>
          <w:b/>
        </w:rPr>
      </w:pPr>
    </w:p>
    <w:p w:rsidR="00AF1907" w:rsidRDefault="00AF1907" w:rsidP="004C08B2">
      <w:pPr>
        <w:tabs>
          <w:tab w:val="left" w:pos="142"/>
        </w:tabs>
        <w:ind w:right="-25"/>
        <w:jc w:val="both"/>
        <w:rPr>
          <w:b/>
        </w:rPr>
      </w:pPr>
    </w:p>
    <w:p w:rsidR="00AF1907" w:rsidRPr="00AF1907" w:rsidRDefault="00AF1907" w:rsidP="004C08B2">
      <w:pPr>
        <w:tabs>
          <w:tab w:val="left" w:pos="142"/>
        </w:tabs>
        <w:ind w:right="-25"/>
        <w:jc w:val="both"/>
        <w:rPr>
          <w:b/>
        </w:rPr>
      </w:pPr>
    </w:p>
    <w:p w:rsidR="008B4339" w:rsidRPr="00D045CA" w:rsidRDefault="00D045CA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  <w:rPr>
          <w:b/>
          <w:sz w:val="28"/>
          <w:szCs w:val="28"/>
          <w:lang w:val="x-none"/>
        </w:rPr>
      </w:pPr>
      <w:r w:rsidRPr="00D045CA">
        <w:rPr>
          <w:b/>
          <w:sz w:val="28"/>
          <w:szCs w:val="28"/>
        </w:rPr>
        <w:lastRenderedPageBreak/>
        <w:t xml:space="preserve"> </w:t>
      </w:r>
      <w:r w:rsidR="008B4339" w:rsidRPr="00D045CA">
        <w:rPr>
          <w:b/>
          <w:sz w:val="28"/>
          <w:szCs w:val="28"/>
          <w:lang w:val="x-none"/>
        </w:rPr>
        <w:t>WIELOLETNIE PRZEDSIĘWZIĘCIA BIEŻĄCE I MAJĄTKOWE</w:t>
      </w:r>
    </w:p>
    <w:p w:rsidR="008B4339" w:rsidRDefault="008B4339" w:rsidP="004C08B2">
      <w:pPr>
        <w:tabs>
          <w:tab w:val="left" w:pos="142"/>
        </w:tabs>
        <w:ind w:right="-25"/>
        <w:jc w:val="both"/>
      </w:pPr>
    </w:p>
    <w:p w:rsidR="00E90131" w:rsidRDefault="008B4339" w:rsidP="004C08B2">
      <w:pPr>
        <w:tabs>
          <w:tab w:val="left" w:pos="142"/>
        </w:tabs>
        <w:ind w:right="-25"/>
        <w:jc w:val="both"/>
      </w:pPr>
      <w:r w:rsidRPr="008B4339">
        <w:t>W 20</w:t>
      </w:r>
      <w:r w:rsidR="00570704">
        <w:t>20</w:t>
      </w:r>
      <w:r w:rsidRPr="008B4339">
        <w:t xml:space="preserve"> roku na przedsięwzięcia objęte WPF przeznaczono kwotę</w:t>
      </w:r>
      <w:r w:rsidR="00570704">
        <w:t>1.</w:t>
      </w:r>
      <w:r w:rsidR="0022306A">
        <w:t>840.550</w:t>
      </w:r>
      <w:r w:rsidR="00AF1907">
        <w:t>,00</w:t>
      </w:r>
      <w:r w:rsidR="000165E6">
        <w:t xml:space="preserve"> </w:t>
      </w:r>
      <w:r w:rsidR="00E90131">
        <w:t>zł.</w:t>
      </w:r>
    </w:p>
    <w:p w:rsidR="00D226D1" w:rsidRDefault="00D226D1" w:rsidP="004C08B2">
      <w:pPr>
        <w:tabs>
          <w:tab w:val="left" w:pos="142"/>
        </w:tabs>
        <w:ind w:right="-25"/>
        <w:jc w:val="both"/>
      </w:pPr>
      <w:r>
        <w:t>W roku 20</w:t>
      </w:r>
      <w:r w:rsidR="00570704">
        <w:t xml:space="preserve">20 </w:t>
      </w:r>
      <w:r>
        <w:t xml:space="preserve">na wydatki majątkowe zaplanowano </w:t>
      </w:r>
      <w:r w:rsidR="00570704">
        <w:t>1.</w:t>
      </w:r>
      <w:r w:rsidR="0022306A">
        <w:t>160</w:t>
      </w:r>
      <w:r w:rsidR="00A7199B">
        <w:t>.550</w:t>
      </w:r>
      <w:r>
        <w:t>,00 zł</w:t>
      </w:r>
      <w:r w:rsidR="00A020F4">
        <w:t xml:space="preserve"> </w:t>
      </w:r>
      <w:r w:rsidR="00570704">
        <w:t xml:space="preserve"> a na wydatki bieżące zaplanowano kwotę 680.000,00</w:t>
      </w:r>
      <w:r w:rsidR="00EB42D8">
        <w:t>.</w:t>
      </w:r>
    </w:p>
    <w:p w:rsidR="00570704" w:rsidRPr="008B4339" w:rsidRDefault="00570704" w:rsidP="004C08B2">
      <w:pPr>
        <w:tabs>
          <w:tab w:val="left" w:pos="142"/>
        </w:tabs>
        <w:ind w:right="-25"/>
        <w:jc w:val="both"/>
        <w:rPr>
          <w:b/>
        </w:rPr>
      </w:pPr>
    </w:p>
    <w:p w:rsidR="008B4339" w:rsidRDefault="008B4339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  <w:r w:rsidRPr="008B4339">
        <w:rPr>
          <w:rFonts w:eastAsia="Lucida Sans Unicode"/>
          <w:kern w:val="1"/>
          <w:lang w:eastAsia="ar-SA"/>
        </w:rPr>
        <w:t>Wykaz realizowanych i planowanych do realizacji przedsięwzięć wieloletnich zawiera załącznik nr 2 do uchwały. Limit zobowiązań dla przedsięwzięć wieloletnich określono jako suma wydatków przewidzianych do realizacji poszczególnych zadań począwszy od 201</w:t>
      </w:r>
      <w:r w:rsidR="00570704">
        <w:rPr>
          <w:rFonts w:eastAsia="Lucida Sans Unicode"/>
          <w:kern w:val="1"/>
          <w:lang w:eastAsia="ar-SA"/>
        </w:rPr>
        <w:t>9</w:t>
      </w:r>
      <w:r w:rsidRPr="008B4339">
        <w:rPr>
          <w:rFonts w:eastAsia="Lucida Sans Unicode"/>
          <w:kern w:val="1"/>
          <w:lang w:eastAsia="ar-SA"/>
        </w:rPr>
        <w:t xml:space="preserve"> roku do końca okresu realizacji zadań. Zachowując ciągłość przedsięwzięć wieloletnich w załączniku nr 2 uwzględniono również zadania, które w latach poprzednich posiadały status przedsięwzięcia wieloletniego a okres r</w:t>
      </w:r>
      <w:r w:rsidR="00477036">
        <w:rPr>
          <w:rFonts w:eastAsia="Lucida Sans Unicode"/>
          <w:kern w:val="1"/>
          <w:lang w:eastAsia="ar-SA"/>
        </w:rPr>
        <w:t>ealizacji kończy się w roku 20</w:t>
      </w:r>
      <w:r w:rsidR="00570704">
        <w:rPr>
          <w:rFonts w:eastAsia="Lucida Sans Unicode"/>
          <w:kern w:val="1"/>
          <w:lang w:eastAsia="ar-SA"/>
        </w:rPr>
        <w:t>20</w:t>
      </w:r>
      <w:r w:rsidRPr="008B4339">
        <w:rPr>
          <w:rFonts w:eastAsia="Lucida Sans Unicode"/>
          <w:kern w:val="1"/>
          <w:lang w:eastAsia="ar-SA"/>
        </w:rPr>
        <w:t xml:space="preserve">. </w:t>
      </w:r>
    </w:p>
    <w:p w:rsidR="00F543BB" w:rsidRDefault="00F543BB" w:rsidP="004C08B2">
      <w:pPr>
        <w:widowControl w:val="0"/>
        <w:tabs>
          <w:tab w:val="left" w:pos="142"/>
        </w:tabs>
        <w:suppressAutoHyphens/>
        <w:ind w:right="-25"/>
        <w:jc w:val="both"/>
        <w:textAlignment w:val="baseline"/>
        <w:rPr>
          <w:rFonts w:eastAsia="Lucida Sans Unicode"/>
          <w:kern w:val="1"/>
          <w:lang w:eastAsia="ar-SA"/>
        </w:rPr>
      </w:pPr>
    </w:p>
    <w:p w:rsidR="00A020F4" w:rsidRDefault="00CB020D" w:rsidP="004C08B2">
      <w:p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 roku 20</w:t>
      </w:r>
      <w:r w:rsidR="00570704">
        <w:rPr>
          <w:rFonts w:eastAsia="Lucida Sans Unicode"/>
          <w:lang w:eastAsia="ar-SA"/>
        </w:rPr>
        <w:t>20</w:t>
      </w:r>
      <w:r w:rsidR="00EB42D8">
        <w:rPr>
          <w:rFonts w:eastAsia="Lucida Sans Unicode"/>
          <w:lang w:eastAsia="ar-SA"/>
        </w:rPr>
        <w:t xml:space="preserve"> przyjęto do realizacji </w:t>
      </w:r>
      <w:r w:rsidR="009706D0">
        <w:rPr>
          <w:rFonts w:eastAsia="Lucida Sans Unicode"/>
          <w:lang w:eastAsia="ar-SA"/>
        </w:rPr>
        <w:t>zadani</w:t>
      </w:r>
      <w:r w:rsidR="00EB42D8">
        <w:rPr>
          <w:rFonts w:eastAsia="Lucida Sans Unicode"/>
          <w:lang w:eastAsia="ar-SA"/>
        </w:rPr>
        <w:t>e</w:t>
      </w:r>
      <w:r>
        <w:rPr>
          <w:rFonts w:eastAsia="Lucida Sans Unicode"/>
          <w:lang w:eastAsia="ar-SA"/>
        </w:rPr>
        <w:t xml:space="preserve"> inwestycyjne </w:t>
      </w:r>
      <w:proofErr w:type="spellStart"/>
      <w:r>
        <w:rPr>
          <w:rFonts w:eastAsia="Lucida Sans Unicode"/>
          <w:lang w:eastAsia="ar-SA"/>
        </w:rPr>
        <w:t>pn</w:t>
      </w:r>
      <w:proofErr w:type="spellEnd"/>
      <w:r>
        <w:rPr>
          <w:rFonts w:eastAsia="Lucida Sans Unicode"/>
          <w:lang w:eastAsia="ar-SA"/>
        </w:rPr>
        <w:t xml:space="preserve">: </w:t>
      </w:r>
    </w:p>
    <w:p w:rsidR="00F543BB" w:rsidRDefault="00570704" w:rsidP="00570704">
      <w:pPr>
        <w:pStyle w:val="Akapitzlist"/>
        <w:numPr>
          <w:ilvl w:val="0"/>
          <w:numId w:val="7"/>
        </w:num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Budowa przyszkolnej infrastruktury sportowej w Przytyku – 650.000,00</w:t>
      </w:r>
    </w:p>
    <w:p w:rsidR="00570704" w:rsidRDefault="00570704" w:rsidP="00570704">
      <w:pPr>
        <w:pStyle w:val="Akapitzlist"/>
        <w:numPr>
          <w:ilvl w:val="0"/>
          <w:numId w:val="7"/>
        </w:num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Rozbudowa drogi gminnej nr 350921W w miejscowości Witoldów – Etap II – 350.000,00 . Zadanie jest realizowane w latach 2019-2020.</w:t>
      </w:r>
    </w:p>
    <w:p w:rsidR="00A7199B" w:rsidRDefault="00A7199B" w:rsidP="00570704">
      <w:pPr>
        <w:pStyle w:val="Akapitzlist"/>
        <w:numPr>
          <w:ilvl w:val="0"/>
          <w:numId w:val="7"/>
        </w:num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Opracowanie dokumentacji projektowej na przebudowę drogi wojewódzkiej nr 740 na odcinku od km 17+775 do km 19+275 w miejscowości Żerdź gmina Przytyk, powiat radomski, województwo mazowieckie – </w:t>
      </w:r>
      <w:r w:rsidR="00981890">
        <w:rPr>
          <w:rFonts w:eastAsia="Lucida Sans Unicode"/>
          <w:lang w:eastAsia="ar-SA"/>
        </w:rPr>
        <w:t>63.100,00. Zadanie jest realizowane w latach 2019-2020.</w:t>
      </w:r>
    </w:p>
    <w:p w:rsidR="00981890" w:rsidRDefault="00981890" w:rsidP="00570704">
      <w:pPr>
        <w:pStyle w:val="Akapitzlist"/>
        <w:numPr>
          <w:ilvl w:val="0"/>
          <w:numId w:val="7"/>
        </w:num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Opracowanie dokumentacji projektowo-kosztorysowej na przebudowę drogi gminnej Nr 350925W Krzyszkowice-Gaczkowice – 18.450,00 . Zadanie jest realizowane w latach 2019-2020.</w:t>
      </w:r>
    </w:p>
    <w:p w:rsidR="008A2850" w:rsidRDefault="008A2850" w:rsidP="008A2850">
      <w:pPr>
        <w:pStyle w:val="Akapitzlist"/>
        <w:numPr>
          <w:ilvl w:val="0"/>
          <w:numId w:val="7"/>
        </w:num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Wykonanie projektu kanalizacji sanitarnej w miejscowości Oblas- 79.000,00 Zadanie jest realizowane w latach 2019-2020.</w:t>
      </w:r>
    </w:p>
    <w:p w:rsidR="00570704" w:rsidRPr="00570704" w:rsidRDefault="00570704" w:rsidP="00570704">
      <w:p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 roku 2021 przyjęto do realizacji następujące zadanie inwestycyjne:</w:t>
      </w:r>
    </w:p>
    <w:p w:rsidR="00570704" w:rsidRDefault="00570704" w:rsidP="00570704">
      <w:pPr>
        <w:pStyle w:val="Akapitzlist"/>
        <w:numPr>
          <w:ilvl w:val="0"/>
          <w:numId w:val="8"/>
        </w:numPr>
        <w:jc w:val="both"/>
        <w:rPr>
          <w:rFonts w:eastAsia="Lucida Sans Unicode"/>
          <w:lang w:eastAsia="ar-SA"/>
        </w:rPr>
      </w:pPr>
      <w:r w:rsidRPr="00570704">
        <w:rPr>
          <w:rFonts w:eastAsia="Lucida Sans Unicode"/>
          <w:lang w:eastAsia="ar-SA"/>
        </w:rPr>
        <w:t xml:space="preserve">Przebudowa części pomieszczeń w budynku przy ul. Szkolnej 3 z przeznaczeniem na Gminny Ośrodek Kultury w Przytyku – 300.000,00 . Zadanie realizowane będzie w roku 2021. </w:t>
      </w:r>
    </w:p>
    <w:p w:rsidR="00570704" w:rsidRDefault="00570704" w:rsidP="00570704">
      <w:p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 ramach zadań bieżących w roku 2020 realizowane będzie następujące zadanie:</w:t>
      </w:r>
    </w:p>
    <w:p w:rsidR="00570704" w:rsidRDefault="00570704" w:rsidP="00570704">
      <w:pPr>
        <w:pStyle w:val="Akapitzlist"/>
        <w:numPr>
          <w:ilvl w:val="0"/>
          <w:numId w:val="9"/>
        </w:num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Opracowanie miejscowego planu zagospodarowania przestrzennego obrębów geodezyjnych Glinice i Kolonia Glinice w gminie Przytyk – 70.000,00. Zadanie jest realizowane w latach 2019-2020.</w:t>
      </w:r>
    </w:p>
    <w:p w:rsidR="00570704" w:rsidRDefault="00570704" w:rsidP="00570704">
      <w:pPr>
        <w:pStyle w:val="Akapitzlist"/>
        <w:numPr>
          <w:ilvl w:val="0"/>
          <w:numId w:val="9"/>
        </w:num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Opracowanie miejscowego planu zagospodarowania przestrzennego obrębów geodezyjnych Dęba i Kolonia Dęba w gminie Przytyk – 70.000,00. Zadanie jest realizowane w latach 2019-2020.</w:t>
      </w:r>
    </w:p>
    <w:p w:rsidR="00570704" w:rsidRDefault="00570704" w:rsidP="00570704">
      <w:pPr>
        <w:pStyle w:val="Akapitzlist"/>
        <w:numPr>
          <w:ilvl w:val="0"/>
          <w:numId w:val="9"/>
        </w:numPr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Remont drogi gminnej nr 350910W Dęba –Glinice – 540.000,00. Zadanie jest realizowane w latach 2019-2020 jako bieżące.</w:t>
      </w:r>
    </w:p>
    <w:p w:rsidR="00570704" w:rsidRPr="00570704" w:rsidRDefault="00570704" w:rsidP="00570704">
      <w:pPr>
        <w:pStyle w:val="Akapitzlist"/>
        <w:ind w:left="780"/>
        <w:jc w:val="both"/>
        <w:rPr>
          <w:rFonts w:eastAsia="Lucida Sans Unicode"/>
          <w:lang w:eastAsia="ar-SA"/>
        </w:rPr>
      </w:pPr>
    </w:p>
    <w:p w:rsidR="00570704" w:rsidRPr="00570704" w:rsidRDefault="00570704" w:rsidP="00570704">
      <w:pPr>
        <w:jc w:val="both"/>
        <w:rPr>
          <w:rFonts w:eastAsia="Lucida Sans Unicode"/>
          <w:lang w:eastAsia="ar-SA"/>
        </w:rPr>
      </w:pPr>
    </w:p>
    <w:p w:rsidR="00F543BB" w:rsidRPr="00F543BB" w:rsidRDefault="00F543BB" w:rsidP="004C08B2">
      <w:pPr>
        <w:jc w:val="both"/>
      </w:pPr>
      <w:r w:rsidRPr="00F543BB">
        <w:t>Tak skonstruowana wieloletnia prognoza długu po uwzględnieniu wskaźników, inflacji, wzrostu gospodarczego i zrealizowaniu wszystkich zadań z udziałem środków z UE oraz po otrzymaniu środków na wyprzedzające finansowanie zadań realizowanych przy udziale środków z budżetu UE pozwala utrzymać budżet gminy w dobrej kondycji finansowej</w:t>
      </w:r>
      <w:r w:rsidR="002F72E2">
        <w:t>.</w:t>
      </w:r>
    </w:p>
    <w:p w:rsidR="00E06AC5" w:rsidRPr="00E06AC5" w:rsidRDefault="00E06AC5" w:rsidP="004C08B2">
      <w:pPr>
        <w:jc w:val="both"/>
        <w:rPr>
          <w:rFonts w:eastAsia="Lucida Sans Unicode"/>
          <w:lang w:eastAsia="ar-SA"/>
        </w:rPr>
      </w:pPr>
    </w:p>
    <w:p w:rsidR="00DC72A0" w:rsidRDefault="00E06AC5" w:rsidP="00DC72A0">
      <w:pPr>
        <w:spacing w:line="360" w:lineRule="auto"/>
        <w:jc w:val="right"/>
      </w:pPr>
      <w:r>
        <w:rPr>
          <w:rFonts w:eastAsia="Lucida Sans Unicode"/>
          <w:lang w:eastAsia="ar-SA"/>
        </w:rPr>
        <w:tab/>
        <w:t xml:space="preserve">                                                                                                 </w:t>
      </w:r>
      <w:r w:rsidR="00DC72A0">
        <w:t>Przewodniczący</w:t>
      </w:r>
    </w:p>
    <w:p w:rsidR="00DC72A0" w:rsidRDefault="00DC72A0" w:rsidP="00DC72A0">
      <w:pPr>
        <w:spacing w:line="360" w:lineRule="auto"/>
        <w:jc w:val="right"/>
      </w:pPr>
      <w:r>
        <w:t>Rady Gminy w Przytyku</w:t>
      </w:r>
    </w:p>
    <w:p w:rsidR="000165E6" w:rsidRPr="00E06AC5" w:rsidRDefault="00DC72A0" w:rsidP="00DC72A0">
      <w:pPr>
        <w:spacing w:line="360" w:lineRule="auto"/>
        <w:rPr>
          <w:rFonts w:eastAsia="Lucida Sans Unicode"/>
          <w:lang w:eastAsia="ar-SA"/>
        </w:rPr>
      </w:pPr>
      <w:r>
        <w:t xml:space="preserve">                                                                                                               Krzysztof Wlazło</w:t>
      </w:r>
      <w:bookmarkEnd w:id="0"/>
    </w:p>
    <w:sectPr w:rsidR="000165E6" w:rsidRPr="00E06A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C3" w:rsidRDefault="00CC38C3" w:rsidP="009C5D94">
      <w:r>
        <w:separator/>
      </w:r>
    </w:p>
  </w:endnote>
  <w:endnote w:type="continuationSeparator" w:id="0">
    <w:p w:rsidR="00CC38C3" w:rsidRDefault="00CC38C3" w:rsidP="009C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973732"/>
      <w:docPartObj>
        <w:docPartGallery w:val="Page Numbers (Bottom of Page)"/>
        <w:docPartUnique/>
      </w:docPartObj>
    </w:sdtPr>
    <w:sdtEndPr/>
    <w:sdtContent>
      <w:p w:rsidR="008A2850" w:rsidRDefault="008A28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2A0">
          <w:rPr>
            <w:noProof/>
          </w:rPr>
          <w:t>12</w:t>
        </w:r>
        <w:r>
          <w:fldChar w:fldCharType="end"/>
        </w:r>
      </w:p>
    </w:sdtContent>
  </w:sdt>
  <w:p w:rsidR="008A2850" w:rsidRDefault="008A28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C3" w:rsidRDefault="00CC38C3" w:rsidP="009C5D94">
      <w:r>
        <w:separator/>
      </w:r>
    </w:p>
  </w:footnote>
  <w:footnote w:type="continuationSeparator" w:id="0">
    <w:p w:rsidR="00CC38C3" w:rsidRDefault="00CC38C3" w:rsidP="009C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EB6"/>
    <w:multiLevelType w:val="hybridMultilevel"/>
    <w:tmpl w:val="93689EFA"/>
    <w:lvl w:ilvl="0" w:tplc="38BA9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802D7"/>
    <w:multiLevelType w:val="hybridMultilevel"/>
    <w:tmpl w:val="E410ECC0"/>
    <w:lvl w:ilvl="0" w:tplc="349CBE16">
      <w:start w:val="3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E43354B"/>
    <w:multiLevelType w:val="hybridMultilevel"/>
    <w:tmpl w:val="E99A6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F5D62"/>
    <w:multiLevelType w:val="hybridMultilevel"/>
    <w:tmpl w:val="5226E2D2"/>
    <w:lvl w:ilvl="0" w:tplc="7646FAE2">
      <w:start w:val="5"/>
      <w:numFmt w:val="lowerRoman"/>
      <w:lvlText w:val="%1."/>
      <w:lvlJc w:val="left"/>
      <w:pPr>
        <w:ind w:left="20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393F6DCD"/>
    <w:multiLevelType w:val="hybridMultilevel"/>
    <w:tmpl w:val="E410ECC0"/>
    <w:lvl w:ilvl="0" w:tplc="349CBE16">
      <w:start w:val="3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BA4C98"/>
    <w:multiLevelType w:val="hybridMultilevel"/>
    <w:tmpl w:val="F620E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663B6"/>
    <w:multiLevelType w:val="hybridMultilevel"/>
    <w:tmpl w:val="F620E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203B7"/>
    <w:multiLevelType w:val="hybridMultilevel"/>
    <w:tmpl w:val="E410ECC0"/>
    <w:lvl w:ilvl="0" w:tplc="349CBE16">
      <w:start w:val="3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4943CD"/>
    <w:multiLevelType w:val="hybridMultilevel"/>
    <w:tmpl w:val="070EE830"/>
    <w:lvl w:ilvl="0" w:tplc="E4D696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654366C"/>
    <w:multiLevelType w:val="hybridMultilevel"/>
    <w:tmpl w:val="E410ECC0"/>
    <w:lvl w:ilvl="0" w:tplc="349CBE16">
      <w:start w:val="3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04"/>
    <w:rsid w:val="00000FD0"/>
    <w:rsid w:val="000165E6"/>
    <w:rsid w:val="00017B9E"/>
    <w:rsid w:val="000463C6"/>
    <w:rsid w:val="00065828"/>
    <w:rsid w:val="00077CFF"/>
    <w:rsid w:val="0008225B"/>
    <w:rsid w:val="000A0D0A"/>
    <w:rsid w:val="000C470B"/>
    <w:rsid w:val="000D5256"/>
    <w:rsid w:val="000D7562"/>
    <w:rsid w:val="000F0ACC"/>
    <w:rsid w:val="000F2E22"/>
    <w:rsid w:val="000F793D"/>
    <w:rsid w:val="001000E7"/>
    <w:rsid w:val="001179CA"/>
    <w:rsid w:val="00126BE0"/>
    <w:rsid w:val="00144BBD"/>
    <w:rsid w:val="00157E86"/>
    <w:rsid w:val="00162C23"/>
    <w:rsid w:val="001723D6"/>
    <w:rsid w:val="001729E4"/>
    <w:rsid w:val="001C0C6B"/>
    <w:rsid w:val="001C0CE1"/>
    <w:rsid w:val="001D1B7F"/>
    <w:rsid w:val="001D492C"/>
    <w:rsid w:val="001E6A69"/>
    <w:rsid w:val="001F36E2"/>
    <w:rsid w:val="002119DB"/>
    <w:rsid w:val="00215199"/>
    <w:rsid w:val="0022306A"/>
    <w:rsid w:val="0022312E"/>
    <w:rsid w:val="00266776"/>
    <w:rsid w:val="00277E46"/>
    <w:rsid w:val="00282149"/>
    <w:rsid w:val="00296723"/>
    <w:rsid w:val="002B0067"/>
    <w:rsid w:val="002B42AF"/>
    <w:rsid w:val="002B67DE"/>
    <w:rsid w:val="002F72E2"/>
    <w:rsid w:val="00304FA8"/>
    <w:rsid w:val="00324784"/>
    <w:rsid w:val="00332077"/>
    <w:rsid w:val="00337CA8"/>
    <w:rsid w:val="003516A8"/>
    <w:rsid w:val="00353F50"/>
    <w:rsid w:val="00380543"/>
    <w:rsid w:val="00390920"/>
    <w:rsid w:val="0039655B"/>
    <w:rsid w:val="003B024D"/>
    <w:rsid w:val="003D3779"/>
    <w:rsid w:val="003E03C2"/>
    <w:rsid w:val="003F59FB"/>
    <w:rsid w:val="004047AB"/>
    <w:rsid w:val="0041594A"/>
    <w:rsid w:val="00432930"/>
    <w:rsid w:val="00477036"/>
    <w:rsid w:val="004849A7"/>
    <w:rsid w:val="004C08B2"/>
    <w:rsid w:val="004E0A5E"/>
    <w:rsid w:val="004F7B2F"/>
    <w:rsid w:val="0050351B"/>
    <w:rsid w:val="005275E7"/>
    <w:rsid w:val="00557074"/>
    <w:rsid w:val="005662DF"/>
    <w:rsid w:val="00567C87"/>
    <w:rsid w:val="00570704"/>
    <w:rsid w:val="00594BCD"/>
    <w:rsid w:val="005A1D57"/>
    <w:rsid w:val="005F2184"/>
    <w:rsid w:val="00617D27"/>
    <w:rsid w:val="006237B6"/>
    <w:rsid w:val="00644B36"/>
    <w:rsid w:val="00650801"/>
    <w:rsid w:val="00657A17"/>
    <w:rsid w:val="00661647"/>
    <w:rsid w:val="00672544"/>
    <w:rsid w:val="00673153"/>
    <w:rsid w:val="006C6EAB"/>
    <w:rsid w:val="006C7BC2"/>
    <w:rsid w:val="006D0FD8"/>
    <w:rsid w:val="006D49E0"/>
    <w:rsid w:val="006F5E2A"/>
    <w:rsid w:val="00701FF5"/>
    <w:rsid w:val="00707E71"/>
    <w:rsid w:val="00713DD7"/>
    <w:rsid w:val="007247C7"/>
    <w:rsid w:val="00736C95"/>
    <w:rsid w:val="00741F04"/>
    <w:rsid w:val="007501C7"/>
    <w:rsid w:val="007522D6"/>
    <w:rsid w:val="00770225"/>
    <w:rsid w:val="00772599"/>
    <w:rsid w:val="007830BA"/>
    <w:rsid w:val="00785FA0"/>
    <w:rsid w:val="007902F4"/>
    <w:rsid w:val="00794072"/>
    <w:rsid w:val="007B6216"/>
    <w:rsid w:val="0081255D"/>
    <w:rsid w:val="00814156"/>
    <w:rsid w:val="00821D98"/>
    <w:rsid w:val="008320F4"/>
    <w:rsid w:val="008337EE"/>
    <w:rsid w:val="00845CD3"/>
    <w:rsid w:val="00872CB4"/>
    <w:rsid w:val="00875756"/>
    <w:rsid w:val="008779AF"/>
    <w:rsid w:val="00880961"/>
    <w:rsid w:val="00886BEB"/>
    <w:rsid w:val="008A2850"/>
    <w:rsid w:val="008B4339"/>
    <w:rsid w:val="008D43BE"/>
    <w:rsid w:val="008D5964"/>
    <w:rsid w:val="009043C5"/>
    <w:rsid w:val="00904AA4"/>
    <w:rsid w:val="0090752C"/>
    <w:rsid w:val="00912216"/>
    <w:rsid w:val="00916F0F"/>
    <w:rsid w:val="00930A95"/>
    <w:rsid w:val="0095083A"/>
    <w:rsid w:val="009706D0"/>
    <w:rsid w:val="00981890"/>
    <w:rsid w:val="009A6328"/>
    <w:rsid w:val="009B0150"/>
    <w:rsid w:val="009C5D94"/>
    <w:rsid w:val="00A020F4"/>
    <w:rsid w:val="00A07533"/>
    <w:rsid w:val="00A14CAA"/>
    <w:rsid w:val="00A40529"/>
    <w:rsid w:val="00A41C8E"/>
    <w:rsid w:val="00A44B43"/>
    <w:rsid w:val="00A62F74"/>
    <w:rsid w:val="00A7199B"/>
    <w:rsid w:val="00A84ED5"/>
    <w:rsid w:val="00A86B41"/>
    <w:rsid w:val="00A917F8"/>
    <w:rsid w:val="00AA0862"/>
    <w:rsid w:val="00AB5B19"/>
    <w:rsid w:val="00AC6C1D"/>
    <w:rsid w:val="00AF1907"/>
    <w:rsid w:val="00AF4596"/>
    <w:rsid w:val="00B432BE"/>
    <w:rsid w:val="00B43A3A"/>
    <w:rsid w:val="00B54AE1"/>
    <w:rsid w:val="00B6338A"/>
    <w:rsid w:val="00BA3296"/>
    <w:rsid w:val="00BB037D"/>
    <w:rsid w:val="00BB5BAD"/>
    <w:rsid w:val="00BD165E"/>
    <w:rsid w:val="00C0250D"/>
    <w:rsid w:val="00C645B5"/>
    <w:rsid w:val="00C7133D"/>
    <w:rsid w:val="00CA081D"/>
    <w:rsid w:val="00CB020D"/>
    <w:rsid w:val="00CB679C"/>
    <w:rsid w:val="00CC38C3"/>
    <w:rsid w:val="00CC61FC"/>
    <w:rsid w:val="00CD21D6"/>
    <w:rsid w:val="00CD5A46"/>
    <w:rsid w:val="00CF217B"/>
    <w:rsid w:val="00CF4145"/>
    <w:rsid w:val="00D045CA"/>
    <w:rsid w:val="00D10C79"/>
    <w:rsid w:val="00D16DF2"/>
    <w:rsid w:val="00D226D1"/>
    <w:rsid w:val="00D239A4"/>
    <w:rsid w:val="00D4632A"/>
    <w:rsid w:val="00D568B5"/>
    <w:rsid w:val="00D8177F"/>
    <w:rsid w:val="00D86376"/>
    <w:rsid w:val="00D95AB7"/>
    <w:rsid w:val="00D96C84"/>
    <w:rsid w:val="00DC72A0"/>
    <w:rsid w:val="00DD5288"/>
    <w:rsid w:val="00E06AC5"/>
    <w:rsid w:val="00E14A1F"/>
    <w:rsid w:val="00E23D85"/>
    <w:rsid w:val="00E26588"/>
    <w:rsid w:val="00E4154F"/>
    <w:rsid w:val="00E43276"/>
    <w:rsid w:val="00E55A7C"/>
    <w:rsid w:val="00E90131"/>
    <w:rsid w:val="00EB42D8"/>
    <w:rsid w:val="00EC43FA"/>
    <w:rsid w:val="00F02444"/>
    <w:rsid w:val="00F543BB"/>
    <w:rsid w:val="00F5706D"/>
    <w:rsid w:val="00F606B6"/>
    <w:rsid w:val="00F73042"/>
    <w:rsid w:val="00F92B7A"/>
    <w:rsid w:val="00FA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43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3B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4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5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D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D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43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3B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4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5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D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D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0C9E-A286-435B-AC79-0B319DB9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3338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Dell-Skarbnik</dc:creator>
  <cp:lastModifiedBy>Dell-Skarbnik</cp:lastModifiedBy>
  <cp:revision>4</cp:revision>
  <cp:lastPrinted>2020-01-02T13:16:00Z</cp:lastPrinted>
  <dcterms:created xsi:type="dcterms:W3CDTF">2020-01-02T13:19:00Z</dcterms:created>
  <dcterms:modified xsi:type="dcterms:W3CDTF">2020-01-02T13:26:00Z</dcterms:modified>
</cp:coreProperties>
</file>