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9BB77" w14:textId="0B262BB5" w:rsidR="00592EF9" w:rsidRPr="00592EF9" w:rsidRDefault="0092560D" w:rsidP="00592EF9">
      <w:pPr>
        <w:pStyle w:val="Default"/>
        <w:jc w:val="right"/>
        <w:rPr>
          <w:rFonts w:ascii="Times New Roman" w:hAnsi="Times New Roman" w:cs="Times New Roman"/>
          <w:bCs/>
          <w:color w:val="auto"/>
          <w:sz w:val="18"/>
          <w:szCs w:val="18"/>
        </w:rPr>
      </w:pPr>
      <w:r w:rsidRPr="00592EF9">
        <w:rPr>
          <w:rFonts w:ascii="Times New Roman" w:hAnsi="Times New Roman" w:cs="Times New Roman"/>
          <w:sz w:val="18"/>
          <w:szCs w:val="18"/>
        </w:rPr>
        <w:t>Załącznik nr 3</w:t>
      </w:r>
      <w:r w:rsidR="00592EF9" w:rsidRPr="00592EF9">
        <w:rPr>
          <w:rFonts w:ascii="Times New Roman" w:hAnsi="Times New Roman" w:cs="Times New Roman"/>
          <w:sz w:val="18"/>
          <w:szCs w:val="18"/>
        </w:rPr>
        <w:t xml:space="preserve"> </w:t>
      </w:r>
      <w:r w:rsidR="00592EF9" w:rsidRPr="00592EF9">
        <w:rPr>
          <w:rFonts w:ascii="Times New Roman" w:hAnsi="Times New Roman" w:cs="Times New Roman"/>
          <w:bCs/>
          <w:color w:val="auto"/>
          <w:sz w:val="18"/>
          <w:szCs w:val="18"/>
        </w:rPr>
        <w:t xml:space="preserve">do zapytania ofertowego </w:t>
      </w:r>
    </w:p>
    <w:p w14:paraId="52397B14" w14:textId="77777777" w:rsidR="00592EF9" w:rsidRPr="00592EF9" w:rsidRDefault="00592EF9" w:rsidP="00592EF9">
      <w:pPr>
        <w:pStyle w:val="Default"/>
        <w:jc w:val="right"/>
        <w:rPr>
          <w:rFonts w:ascii="Times New Roman" w:hAnsi="Times New Roman" w:cs="Times New Roman"/>
          <w:color w:val="auto"/>
          <w:sz w:val="18"/>
          <w:szCs w:val="18"/>
        </w:rPr>
      </w:pPr>
      <w:r w:rsidRPr="00592EF9">
        <w:rPr>
          <w:rFonts w:ascii="Times New Roman" w:hAnsi="Times New Roman" w:cs="Times New Roman"/>
          <w:color w:val="auto"/>
          <w:sz w:val="18"/>
          <w:szCs w:val="18"/>
        </w:rPr>
        <w:t>Zakup i montaż lamp hybrydowych w sołectwach Powielin oraz Gnaty Lewiski</w:t>
      </w:r>
    </w:p>
    <w:p w14:paraId="1BE97048" w14:textId="0233869C" w:rsidR="002503DF" w:rsidRDefault="002503DF" w:rsidP="0092560D">
      <w:pPr>
        <w:jc w:val="right"/>
      </w:pPr>
    </w:p>
    <w:p w14:paraId="3D677202" w14:textId="65852EFB" w:rsidR="009673EA" w:rsidRDefault="009673EA" w:rsidP="009673EA">
      <w:r>
        <w:t>Nazwa i adres wykonawcy</w:t>
      </w:r>
    </w:p>
    <w:p w14:paraId="448D89BF" w14:textId="77777777" w:rsidR="009673EA" w:rsidRDefault="009673EA" w:rsidP="009673EA">
      <w:pPr>
        <w:spacing w:line="360" w:lineRule="auto"/>
        <w:jc w:val="center"/>
        <w:rPr>
          <w:rFonts w:ascii="Times New Roman" w:hAnsi="Times New Roman"/>
          <w:b/>
          <w:bCs/>
          <w:u w:val="single"/>
        </w:rPr>
      </w:pPr>
    </w:p>
    <w:p w14:paraId="04EA481F" w14:textId="77777777" w:rsidR="009673EA" w:rsidRPr="009673EA" w:rsidRDefault="009673EA" w:rsidP="009673EA">
      <w:pPr>
        <w:spacing w:line="360" w:lineRule="auto"/>
        <w:jc w:val="center"/>
        <w:rPr>
          <w:rFonts w:ascii="Times New Roman" w:hAnsi="Times New Roman"/>
          <w:b/>
          <w:bCs/>
          <w:u w:val="single"/>
        </w:rPr>
      </w:pPr>
      <w:r w:rsidRPr="009673EA">
        <w:rPr>
          <w:rFonts w:ascii="Times New Roman" w:hAnsi="Times New Roman"/>
          <w:b/>
          <w:bCs/>
          <w:u w:val="single"/>
        </w:rPr>
        <w:t>O Ś W I A D C Z E N I E</w:t>
      </w:r>
    </w:p>
    <w:p w14:paraId="2ADD77AC" w14:textId="535E5018" w:rsidR="009673EA" w:rsidRPr="009673EA" w:rsidRDefault="009673EA" w:rsidP="009673EA">
      <w:pPr>
        <w:spacing w:line="360" w:lineRule="auto"/>
        <w:jc w:val="center"/>
        <w:rPr>
          <w:rFonts w:ascii="Times New Roman" w:hAnsi="Times New Roman"/>
          <w:b/>
          <w:bCs/>
        </w:rPr>
      </w:pPr>
      <w:r w:rsidRPr="009673EA">
        <w:rPr>
          <w:rFonts w:ascii="Times New Roman" w:hAnsi="Times New Roman"/>
          <w:b/>
          <w:bCs/>
        </w:rPr>
        <w:t>składane na podstawie art. 7 ust. 1</w:t>
      </w:r>
      <w:r w:rsidR="00037149">
        <w:rPr>
          <w:rFonts w:ascii="Times New Roman" w:hAnsi="Times New Roman"/>
          <w:b/>
          <w:bCs/>
        </w:rPr>
        <w:t xml:space="preserve"> i 9</w:t>
      </w:r>
      <w:r w:rsidRPr="009673EA">
        <w:rPr>
          <w:rFonts w:ascii="Times New Roman" w:hAnsi="Times New Roman"/>
          <w:b/>
          <w:bCs/>
        </w:rPr>
        <w:t xml:space="preserve"> ustawy z dnia 13 kwietnia 2022 r. o szczególnych rozwiązaniach w zakresie przeciwdziałania wspieraniu agresji na Ukrainę oraz służących ochronie bezpieczeństwa narodowego (Dz. U. z 202</w:t>
      </w:r>
      <w:r w:rsidR="00E72C00">
        <w:rPr>
          <w:rFonts w:ascii="Times New Roman" w:hAnsi="Times New Roman"/>
          <w:b/>
          <w:bCs/>
        </w:rPr>
        <w:t>3</w:t>
      </w:r>
      <w:r w:rsidRPr="009673EA">
        <w:rPr>
          <w:rFonts w:ascii="Times New Roman" w:hAnsi="Times New Roman"/>
          <w:b/>
          <w:bCs/>
        </w:rPr>
        <w:t xml:space="preserve"> r. poz. </w:t>
      </w:r>
      <w:r w:rsidR="00E72C00">
        <w:rPr>
          <w:rFonts w:ascii="Times New Roman" w:hAnsi="Times New Roman"/>
          <w:b/>
          <w:bCs/>
        </w:rPr>
        <w:t>1497</w:t>
      </w:r>
      <w:r w:rsidRPr="009673EA">
        <w:rPr>
          <w:rFonts w:ascii="Times New Roman" w:hAnsi="Times New Roman"/>
          <w:b/>
          <w:bCs/>
        </w:rPr>
        <w:t>)</w:t>
      </w:r>
    </w:p>
    <w:p w14:paraId="0D44D3FC" w14:textId="77777777" w:rsidR="009673EA" w:rsidRPr="009673EA" w:rsidRDefault="009673EA" w:rsidP="009673EA">
      <w:pPr>
        <w:spacing w:line="240" w:lineRule="auto"/>
        <w:jc w:val="center"/>
        <w:rPr>
          <w:rFonts w:ascii="Times New Roman" w:hAnsi="Times New Roman"/>
          <w:b/>
          <w:bCs/>
          <w:u w:val="single"/>
        </w:rPr>
      </w:pPr>
      <w:r w:rsidRPr="009673EA">
        <w:rPr>
          <w:rFonts w:ascii="Times New Roman" w:hAnsi="Times New Roman"/>
          <w:b/>
          <w:bCs/>
          <w:u w:val="single"/>
        </w:rPr>
        <w:t>DOTYCZĄCE PRZESŁANEK WYKLUCZENIA Z POSTĘPOWANIA</w:t>
      </w:r>
    </w:p>
    <w:p w14:paraId="24851D80" w14:textId="77777777" w:rsidR="009673EA" w:rsidRDefault="009673EA" w:rsidP="009673EA">
      <w:pPr>
        <w:spacing w:line="360" w:lineRule="auto"/>
        <w:jc w:val="center"/>
        <w:rPr>
          <w:rFonts w:ascii="Times New Roman" w:hAnsi="Times New Roman"/>
        </w:rPr>
      </w:pPr>
      <w:r w:rsidRPr="009673EA">
        <w:rPr>
          <w:rFonts w:ascii="Times New Roman" w:hAnsi="Times New Roman"/>
        </w:rPr>
        <w:t>Na potrzeby postępowania o udzielenie zamówienia publicznego pn.:</w:t>
      </w:r>
    </w:p>
    <w:p w14:paraId="3B93D3B5" w14:textId="77777777" w:rsidR="002503DF" w:rsidRDefault="002503DF" w:rsidP="002503DF">
      <w:pPr>
        <w:spacing w:after="0"/>
        <w:jc w:val="center"/>
        <w:rPr>
          <w:rFonts w:ascii="Times New Roman" w:hAnsi="Times New Roman"/>
          <w:b/>
        </w:rPr>
      </w:pPr>
      <w:r>
        <w:rPr>
          <w:rFonts w:ascii="Times New Roman" w:hAnsi="Times New Roman"/>
          <w:b/>
        </w:rPr>
        <w:t xml:space="preserve">Zakup i montaż lamp hybrydowych </w:t>
      </w:r>
    </w:p>
    <w:p w14:paraId="776EC2C8" w14:textId="05F91169" w:rsidR="002503DF" w:rsidRPr="002503DF" w:rsidRDefault="002503DF" w:rsidP="002503DF">
      <w:pPr>
        <w:spacing w:after="0"/>
        <w:jc w:val="center"/>
        <w:rPr>
          <w:rFonts w:ascii="Times New Roman" w:hAnsi="Times New Roman"/>
          <w:b/>
        </w:rPr>
      </w:pPr>
      <w:r>
        <w:rPr>
          <w:rFonts w:ascii="Times New Roman" w:hAnsi="Times New Roman"/>
          <w:b/>
        </w:rPr>
        <w:t>w miejscowości Powielin oraz Gnaty Lewiski</w:t>
      </w:r>
    </w:p>
    <w:p w14:paraId="4A10A85A" w14:textId="77777777" w:rsidR="009673EA" w:rsidRPr="009673EA" w:rsidRDefault="009673EA" w:rsidP="009673EA">
      <w:pPr>
        <w:shd w:val="clear" w:color="auto" w:fill="FFFFFF" w:themeFill="background1"/>
        <w:spacing w:after="0" w:line="240" w:lineRule="auto"/>
        <w:jc w:val="center"/>
        <w:rPr>
          <w:rFonts w:ascii="Times New Roman" w:hAnsi="Times New Roman"/>
          <w:b/>
          <w:bCs/>
        </w:rPr>
      </w:pPr>
    </w:p>
    <w:p w14:paraId="7C17504B" w14:textId="109A53E8" w:rsidR="009673EA" w:rsidRDefault="00E72C00" w:rsidP="009673EA">
      <w:pPr>
        <w:spacing w:line="360" w:lineRule="auto"/>
        <w:jc w:val="center"/>
        <w:rPr>
          <w:rFonts w:ascii="Times New Roman" w:hAnsi="Times New Roman"/>
          <w:b/>
          <w:bCs/>
          <w:i/>
          <w:iCs/>
        </w:rPr>
      </w:pPr>
      <w:r w:rsidRPr="00E72C00">
        <w:rPr>
          <w:rFonts w:ascii="Times New Roman" w:hAnsi="Times New Roman"/>
          <w:b/>
          <w:bCs/>
          <w:i/>
          <w:iCs/>
        </w:rPr>
        <w:t>Numer postępowania/sprawy</w:t>
      </w:r>
    </w:p>
    <w:p w14:paraId="6CEBFE7E" w14:textId="225D3D5B" w:rsidR="002503DF" w:rsidRPr="002503DF" w:rsidRDefault="002503DF" w:rsidP="009673EA">
      <w:pPr>
        <w:spacing w:line="360" w:lineRule="auto"/>
        <w:jc w:val="center"/>
        <w:rPr>
          <w:rFonts w:ascii="Times New Roman" w:hAnsi="Times New Roman"/>
          <w:b/>
          <w:bCs/>
        </w:rPr>
      </w:pPr>
      <w:r>
        <w:rPr>
          <w:rFonts w:ascii="Times New Roman" w:hAnsi="Times New Roman"/>
          <w:b/>
          <w:bCs/>
        </w:rPr>
        <w:t>IS.271.2.</w:t>
      </w:r>
      <w:r w:rsidR="00170869">
        <w:rPr>
          <w:rFonts w:ascii="Times New Roman" w:hAnsi="Times New Roman"/>
          <w:b/>
          <w:bCs/>
        </w:rPr>
        <w:t>22.2024</w:t>
      </w:r>
    </w:p>
    <w:p w14:paraId="25705804" w14:textId="77777777" w:rsidR="009673EA" w:rsidRPr="009673EA" w:rsidRDefault="009673EA" w:rsidP="009673EA">
      <w:pPr>
        <w:spacing w:line="360" w:lineRule="auto"/>
        <w:jc w:val="center"/>
        <w:rPr>
          <w:rFonts w:ascii="Times New Roman" w:hAnsi="Times New Roman"/>
        </w:rPr>
      </w:pPr>
      <w:r w:rsidRPr="009673EA">
        <w:rPr>
          <w:rFonts w:ascii="Times New Roman" w:hAnsi="Times New Roman"/>
        </w:rPr>
        <w:t xml:space="preserve">prowadzonego przez </w:t>
      </w:r>
      <w:r w:rsidRPr="009673EA">
        <w:rPr>
          <w:rFonts w:ascii="Times New Roman" w:hAnsi="Times New Roman"/>
          <w:b/>
          <w:bCs/>
        </w:rPr>
        <w:t xml:space="preserve">Gminę </w:t>
      </w:r>
      <w:r>
        <w:rPr>
          <w:rFonts w:ascii="Times New Roman" w:hAnsi="Times New Roman"/>
          <w:b/>
          <w:bCs/>
        </w:rPr>
        <w:t>Winnica</w:t>
      </w:r>
      <w:r w:rsidRPr="009673EA">
        <w:rPr>
          <w:rFonts w:ascii="Times New Roman" w:hAnsi="Times New Roman"/>
        </w:rPr>
        <w:t xml:space="preserve"> oświadczam, co następuje:</w:t>
      </w:r>
    </w:p>
    <w:p w14:paraId="68C495C0" w14:textId="77777777" w:rsidR="009673EA" w:rsidRPr="004E59B0" w:rsidRDefault="009673EA" w:rsidP="009673EA">
      <w:pPr>
        <w:spacing w:line="360" w:lineRule="auto"/>
        <w:jc w:val="center"/>
        <w:rPr>
          <w:b/>
          <w:bCs/>
        </w:rPr>
      </w:pPr>
      <w:r w:rsidRPr="004E59B0">
        <w:rPr>
          <w:b/>
          <w:bCs/>
          <w:highlight w:val="lightGray"/>
        </w:rPr>
        <w:t>OŚWIADCZENIA DOTYCZĄCE WYKONAWCY:</w:t>
      </w:r>
    </w:p>
    <w:p w14:paraId="58B1C36F" w14:textId="05177EAA" w:rsidR="009673EA" w:rsidRPr="004E59B0" w:rsidRDefault="009673EA" w:rsidP="009673EA">
      <w:pPr>
        <w:spacing w:line="360" w:lineRule="auto"/>
        <w:jc w:val="center"/>
        <w:rPr>
          <w:b/>
          <w:bCs/>
        </w:rPr>
      </w:pPr>
      <w:r w:rsidRPr="004E59B0">
        <w:rPr>
          <w:b/>
          <w:bCs/>
        </w:rPr>
        <w:t xml:space="preserve">Oświadczam, że nie podlegam wykluczeniu z postępowania na podstawie </w:t>
      </w:r>
      <w:r>
        <w:rPr>
          <w:b/>
          <w:bCs/>
        </w:rPr>
        <w:t>art. 7 ust. 1 ustawy</w:t>
      </w:r>
      <w:r w:rsidRPr="008E6851">
        <w:rPr>
          <w:b/>
          <w:bCs/>
        </w:rPr>
        <w:t xml:space="preserve"> z dnia 13 kwietnia 2022 r. o szczególnych rozwiązaniach w zakresie przeciwdziałania wspieraniu agresji na Ukrainę oraz służących ochronie bezpieczeństwa narodowego (Dz. U. z 202</w:t>
      </w:r>
      <w:r w:rsidR="00E72C00">
        <w:rPr>
          <w:b/>
          <w:bCs/>
        </w:rPr>
        <w:t>3</w:t>
      </w:r>
      <w:r w:rsidRPr="008E6851">
        <w:rPr>
          <w:b/>
          <w:bCs/>
        </w:rPr>
        <w:t xml:space="preserve"> r. poz. </w:t>
      </w:r>
      <w:r w:rsidR="00E72C00">
        <w:rPr>
          <w:b/>
          <w:bCs/>
        </w:rPr>
        <w:t>1497</w:t>
      </w:r>
      <w:r w:rsidRPr="008E6851">
        <w:rPr>
          <w:b/>
          <w:bCs/>
        </w:rPr>
        <w:t>)</w:t>
      </w:r>
    </w:p>
    <w:p w14:paraId="36A36D9D" w14:textId="77777777" w:rsidR="009673EA" w:rsidRPr="009673EA" w:rsidRDefault="009673EA">
      <w:pPr>
        <w:rPr>
          <w:rFonts w:ascii="Times New Roman" w:hAnsi="Times New Roman"/>
        </w:rPr>
      </w:pPr>
    </w:p>
    <w:p w14:paraId="36B0F647" w14:textId="77777777" w:rsidR="009673EA" w:rsidRDefault="009673EA" w:rsidP="009673EA">
      <w:r>
        <w:t>data ...................................                                                      ................................................................</w:t>
      </w:r>
    </w:p>
    <w:p w14:paraId="3DE4DE41" w14:textId="77777777" w:rsidR="009673EA" w:rsidRDefault="009673EA" w:rsidP="009673EA">
      <w:pPr>
        <w:pStyle w:val="Bezodstpw"/>
        <w:ind w:left="5670"/>
        <w:jc w:val="center"/>
      </w:pPr>
      <w:r>
        <w:t>podpis i pieczęć Wykonawcy</w:t>
      </w:r>
    </w:p>
    <w:p w14:paraId="69310CDC" w14:textId="77777777" w:rsidR="009673EA" w:rsidRDefault="009673EA" w:rsidP="009673EA"/>
    <w:p w14:paraId="0B9D7619" w14:textId="77777777" w:rsidR="009673EA" w:rsidRDefault="009673EA" w:rsidP="009673EA">
      <w:pPr>
        <w:jc w:val="center"/>
        <w:rPr>
          <w:b/>
          <w:bCs/>
        </w:rPr>
      </w:pPr>
      <w:r>
        <w:rPr>
          <w:b/>
          <w:bCs/>
        </w:rPr>
        <w:t>UWAGA: Dokument należy wypełnić i podpisać kwalifikowanym podpisem elektronicznym lub podpisem zaufanym lub podpisem osobistym.</w:t>
      </w:r>
    </w:p>
    <w:p w14:paraId="32C847A4" w14:textId="77777777" w:rsidR="009673EA" w:rsidRPr="00CD1488" w:rsidRDefault="009673EA" w:rsidP="009673EA">
      <w:pPr>
        <w:jc w:val="center"/>
        <w:rPr>
          <w:b/>
          <w:bCs/>
          <w:color w:val="FF0000"/>
          <w:u w:val="single"/>
        </w:rPr>
      </w:pPr>
      <w:r w:rsidRPr="00CD1488">
        <w:rPr>
          <w:b/>
          <w:bCs/>
          <w:color w:val="FF0000"/>
          <w:u w:val="single"/>
        </w:rPr>
        <w:t>Oświadczenie wypełnić i podpisać w miejscach które dotyczą danego Wykonawcy</w:t>
      </w:r>
    </w:p>
    <w:p w14:paraId="5AE37F88" w14:textId="17533301" w:rsidR="009673EA" w:rsidRPr="002055C8" w:rsidRDefault="009673EA" w:rsidP="002055C8">
      <w:pPr>
        <w:jc w:val="center"/>
        <w:rPr>
          <w:b/>
          <w:bCs/>
          <w:color w:val="FF0000"/>
          <w:u w:val="single"/>
        </w:rPr>
      </w:pPr>
      <w:r w:rsidRPr="00CD1488">
        <w:rPr>
          <w:b/>
          <w:bCs/>
          <w:color w:val="FF0000"/>
          <w:u w:val="single"/>
        </w:rPr>
        <w:t>Zapisy zawarte w oświadczeniu które nie dotyczą danego Wykonawcy należy przekreślić.</w:t>
      </w:r>
    </w:p>
    <w:p w14:paraId="64A07386" w14:textId="77777777" w:rsidR="009673EA" w:rsidRDefault="009673EA">
      <w:pPr>
        <w:rPr>
          <w:rFonts w:ascii="Times New Roman" w:hAnsi="Times New Roman"/>
        </w:rPr>
      </w:pPr>
    </w:p>
    <w:p w14:paraId="7A7CC3D4" w14:textId="77777777" w:rsidR="009673EA" w:rsidRPr="009673EA" w:rsidRDefault="009673EA">
      <w:pPr>
        <w:rPr>
          <w:rFonts w:ascii="Times New Roman" w:hAnsi="Times New Roman"/>
        </w:rPr>
      </w:pPr>
    </w:p>
    <w:p w14:paraId="1F71884A" w14:textId="77777777" w:rsidR="009673EA" w:rsidRDefault="009673EA" w:rsidP="009673EA">
      <w:pPr>
        <w:jc w:val="both"/>
        <w:rPr>
          <w:rFonts w:ascii="Times New Roman" w:hAnsi="Times New Roman"/>
          <w:i/>
          <w:sz w:val="18"/>
          <w:szCs w:val="18"/>
        </w:rPr>
      </w:pPr>
      <w:r w:rsidRPr="009673EA">
        <w:rPr>
          <w:rFonts w:ascii="Times New Roman" w:hAnsi="Times New Roman"/>
          <w:i/>
          <w:sz w:val="18"/>
          <w:szCs w:val="18"/>
        </w:rPr>
        <w:lastRenderedPageBreak/>
        <w:t xml:space="preserve">„Art. 7. 1. Z postępowania o udzielenie zamówienia publicznego lub konkursu prowadzonego na podstawie ustawy z dnia 11 września 2019 r. – Prawo zamówień publicznych wyklucza się: </w:t>
      </w:r>
    </w:p>
    <w:p w14:paraId="6186447D" w14:textId="77777777" w:rsidR="009673EA" w:rsidRDefault="009673EA" w:rsidP="009673EA">
      <w:pPr>
        <w:jc w:val="both"/>
        <w:rPr>
          <w:rFonts w:ascii="Times New Roman" w:hAnsi="Times New Roman"/>
          <w:i/>
          <w:sz w:val="18"/>
          <w:szCs w:val="18"/>
        </w:rPr>
      </w:pPr>
      <w:r w:rsidRPr="009673EA">
        <w:rPr>
          <w:rFonts w:ascii="Times New Roman" w:hAnsi="Times New Roman"/>
          <w:i/>
          <w:sz w:val="18"/>
          <w:szCs w:val="18"/>
        </w:rPr>
        <w:t>1) wykonawcę oraz uczestnika konkursu wymienionego w</w:t>
      </w:r>
      <w:r>
        <w:rPr>
          <w:rFonts w:ascii="Times New Roman" w:hAnsi="Times New Roman"/>
          <w:i/>
          <w:sz w:val="18"/>
          <w:szCs w:val="18"/>
        </w:rPr>
        <w:t> </w:t>
      </w:r>
      <w:r w:rsidRPr="009673EA">
        <w:rPr>
          <w:rFonts w:ascii="Times New Roman" w:hAnsi="Times New Roman"/>
          <w:i/>
          <w:sz w:val="18"/>
          <w:szCs w:val="18"/>
        </w:rPr>
        <w:t xml:space="preserve"> wykazach określonych w rozporządzeniu 765/2006 i rozporządzeniu 269/2014 albo wpisanego na listę na podstawie decyzji w sprawie wpisu na listę rozstrzygającej o zastosowaniu środka, o którym mowa w art. 1 pkt 3; </w:t>
      </w:r>
    </w:p>
    <w:p w14:paraId="76FE65CB" w14:textId="77777777" w:rsidR="009673EA" w:rsidRDefault="009673EA" w:rsidP="009673EA">
      <w:pPr>
        <w:jc w:val="both"/>
        <w:rPr>
          <w:rFonts w:ascii="Times New Roman" w:hAnsi="Times New Roman"/>
          <w:i/>
          <w:sz w:val="18"/>
          <w:szCs w:val="18"/>
        </w:rPr>
      </w:pPr>
      <w:r w:rsidRPr="009673EA">
        <w:rPr>
          <w:rFonts w:ascii="Times New Roman" w:hAnsi="Times New Roman"/>
          <w:i/>
          <w:sz w:val="18"/>
          <w:szCs w:val="18"/>
        </w:rPr>
        <w:t>2) wykonawcę oraz uczestnika konkursu, którego beneficjentem rzeczywistym w rozumieniu ustawy z dnia 1 marca 2018 r. o przeciwdziałaniu praniu pieniędzy oraz finansowaniu terroryzmu (Dz. U. z 2022 r. poz. 593 i 655) jest osoba wymieniona w wykazach określonych w</w:t>
      </w:r>
      <w:r>
        <w:rPr>
          <w:rFonts w:ascii="Times New Roman" w:hAnsi="Times New Roman"/>
          <w:i/>
          <w:sz w:val="18"/>
          <w:szCs w:val="18"/>
        </w:rPr>
        <w:t> </w:t>
      </w:r>
      <w:r w:rsidRPr="009673EA">
        <w:rPr>
          <w:rFonts w:ascii="Times New Roman" w:hAnsi="Times New Roman"/>
          <w:i/>
          <w:sz w:val="18"/>
          <w:szCs w:val="18"/>
        </w:rPr>
        <w:t xml:space="preserve"> rozporządzeniu 765/2006 i rozporządzeniu 269/2014 albo wpisana na listę lub będąca takim beneficjentem rzeczywistym od dnia 24 lutego 2022 r., o ile została wpisana na listę na podstawie decyzji w sprawie wpisu na listę rozstrzygającej o</w:t>
      </w:r>
      <w:r>
        <w:rPr>
          <w:rFonts w:ascii="Times New Roman" w:hAnsi="Times New Roman"/>
          <w:i/>
          <w:sz w:val="18"/>
          <w:szCs w:val="18"/>
        </w:rPr>
        <w:t> </w:t>
      </w:r>
      <w:r w:rsidRPr="009673EA">
        <w:rPr>
          <w:rFonts w:ascii="Times New Roman" w:hAnsi="Times New Roman"/>
          <w:i/>
          <w:sz w:val="18"/>
          <w:szCs w:val="18"/>
        </w:rPr>
        <w:t xml:space="preserve"> zastosowaniu środka, o którym mowa w art. 1 pkt 3; </w:t>
      </w:r>
    </w:p>
    <w:p w14:paraId="18941CA7" w14:textId="77777777" w:rsidR="009673EA" w:rsidRDefault="009673EA" w:rsidP="009673EA">
      <w:pPr>
        <w:jc w:val="both"/>
        <w:rPr>
          <w:rFonts w:ascii="Times New Roman" w:hAnsi="Times New Roman"/>
          <w:i/>
          <w:sz w:val="18"/>
          <w:szCs w:val="18"/>
        </w:rPr>
      </w:pPr>
      <w:r w:rsidRPr="009673EA">
        <w:rPr>
          <w:rFonts w:ascii="Times New Roman" w:hAnsi="Times New Roman"/>
          <w:i/>
          <w:sz w:val="18"/>
          <w:szCs w:val="18"/>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w:t>
      </w:r>
      <w:r>
        <w:rPr>
          <w:rFonts w:ascii="Times New Roman" w:hAnsi="Times New Roman"/>
          <w:i/>
          <w:sz w:val="18"/>
          <w:szCs w:val="18"/>
        </w:rPr>
        <w:t> </w:t>
      </w:r>
      <w:r w:rsidRPr="009673EA">
        <w:rPr>
          <w:rFonts w:ascii="Times New Roman" w:hAnsi="Times New Roman"/>
          <w:i/>
          <w:sz w:val="18"/>
          <w:szCs w:val="18"/>
        </w:rPr>
        <w:t xml:space="preserve"> sprawie wpisu na listę rozstrzygającej o zastosowaniu środka, o którym mowa w art. 1 pkt 3. </w:t>
      </w:r>
    </w:p>
    <w:p w14:paraId="051BE88C" w14:textId="77777777" w:rsidR="009673EA" w:rsidRDefault="009673EA" w:rsidP="009673EA">
      <w:pPr>
        <w:jc w:val="both"/>
        <w:rPr>
          <w:rFonts w:ascii="Times New Roman" w:hAnsi="Times New Roman"/>
          <w:i/>
          <w:sz w:val="18"/>
          <w:szCs w:val="18"/>
        </w:rPr>
      </w:pPr>
      <w:r w:rsidRPr="009673EA">
        <w:rPr>
          <w:rFonts w:ascii="Times New Roman" w:hAnsi="Times New Roman"/>
          <w:i/>
          <w:sz w:val="18"/>
          <w:szCs w:val="18"/>
        </w:rPr>
        <w:t xml:space="preserve">2. Wykluczenie następuje na okres trwania okoliczności określonych w ust. 1. </w:t>
      </w:r>
    </w:p>
    <w:p w14:paraId="2C51DF4A" w14:textId="77777777" w:rsidR="00037149" w:rsidRDefault="009673EA" w:rsidP="009673EA">
      <w:pPr>
        <w:jc w:val="both"/>
        <w:rPr>
          <w:rFonts w:ascii="Times New Roman" w:hAnsi="Times New Roman"/>
          <w:i/>
          <w:sz w:val="18"/>
          <w:szCs w:val="18"/>
        </w:rPr>
      </w:pPr>
      <w:r w:rsidRPr="009673EA">
        <w:rPr>
          <w:rFonts w:ascii="Times New Roman" w:hAnsi="Times New Roman"/>
          <w:i/>
          <w:sz w:val="18"/>
          <w:szCs w:val="18"/>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09A1287" w14:textId="77777777" w:rsidR="00037149" w:rsidRDefault="00037149" w:rsidP="009673EA">
      <w:pPr>
        <w:jc w:val="both"/>
        <w:rPr>
          <w:rFonts w:ascii="Times New Roman" w:hAnsi="Times New Roman"/>
          <w:i/>
          <w:sz w:val="18"/>
          <w:szCs w:val="18"/>
        </w:rPr>
      </w:pPr>
      <w:r>
        <w:rPr>
          <w:rFonts w:ascii="Times New Roman" w:hAnsi="Times New Roman"/>
          <w:i/>
          <w:sz w:val="18"/>
          <w:szCs w:val="18"/>
        </w:rPr>
        <w:t>…..</w:t>
      </w:r>
    </w:p>
    <w:p w14:paraId="1AB4E6FA" w14:textId="7C7D8877" w:rsidR="0069595E" w:rsidRPr="00037149" w:rsidRDefault="00037149" w:rsidP="009673EA">
      <w:pPr>
        <w:jc w:val="both"/>
        <w:rPr>
          <w:rFonts w:ascii="Times New Roman" w:hAnsi="Times New Roman"/>
          <w:i/>
          <w:iCs/>
          <w:sz w:val="18"/>
          <w:szCs w:val="18"/>
        </w:rPr>
      </w:pPr>
      <w:r>
        <w:rPr>
          <w:rFonts w:ascii="Times New Roman" w:hAnsi="Times New Roman"/>
          <w:i/>
          <w:iCs/>
          <w:color w:val="333333"/>
          <w:sz w:val="18"/>
          <w:szCs w:val="18"/>
          <w:shd w:val="clear" w:color="auto" w:fill="FFFFFF"/>
        </w:rPr>
        <w:t xml:space="preserve">9. </w:t>
      </w:r>
      <w:r w:rsidRPr="00037149">
        <w:rPr>
          <w:rFonts w:ascii="Times New Roman" w:hAnsi="Times New Roman"/>
          <w:i/>
          <w:iCs/>
          <w:color w:val="333333"/>
          <w:sz w:val="18"/>
          <w:szCs w:val="18"/>
          <w:shd w:val="clear" w:color="auto" w:fill="FFFFFF"/>
        </w:rPr>
        <w:t xml:space="preserve">Przepisy ust. 1-8 stosuje się do postępowania zmierzającego do udzielenia zamówienia publicznego oraz konkursów o wartości mniejszej niż kwoty określone w </w:t>
      </w:r>
      <w:hyperlink r:id="rId5" w:anchor="/document/18903829?unitId=art(2)ust(1)&amp;cm=DOCUMENT" w:history="1">
        <w:r w:rsidRPr="00037149">
          <w:rPr>
            <w:rStyle w:val="Hipercze"/>
            <w:rFonts w:ascii="Times New Roman" w:hAnsi="Times New Roman"/>
            <w:i/>
            <w:iCs/>
            <w:color w:val="auto"/>
            <w:sz w:val="18"/>
            <w:szCs w:val="18"/>
            <w:u w:val="none"/>
            <w:shd w:val="clear" w:color="auto" w:fill="FFFFFF"/>
          </w:rPr>
          <w:t>art. 2 ust. 1</w:t>
        </w:r>
      </w:hyperlink>
      <w:r w:rsidRPr="00037149">
        <w:rPr>
          <w:rFonts w:ascii="Times New Roman" w:hAnsi="Times New Roman"/>
          <w:i/>
          <w:iCs/>
          <w:color w:val="333333"/>
          <w:sz w:val="18"/>
          <w:szCs w:val="18"/>
          <w:shd w:val="clear" w:color="auto" w:fill="FFFFFF"/>
        </w:rPr>
        <w:t xml:space="preserve"> ustawy z dnia 11 września 2019 r. - Prawo zamówień publicznych lub z</w:t>
      </w:r>
      <w:r>
        <w:rPr>
          <w:rFonts w:ascii="Times New Roman" w:hAnsi="Times New Roman"/>
          <w:i/>
          <w:iCs/>
          <w:color w:val="333333"/>
          <w:sz w:val="18"/>
          <w:szCs w:val="18"/>
          <w:shd w:val="clear" w:color="auto" w:fill="FFFFFF"/>
        </w:rPr>
        <w:t> </w:t>
      </w:r>
      <w:r w:rsidRPr="00037149">
        <w:rPr>
          <w:rFonts w:ascii="Times New Roman" w:hAnsi="Times New Roman"/>
          <w:i/>
          <w:iCs/>
          <w:color w:val="333333"/>
          <w:sz w:val="18"/>
          <w:szCs w:val="18"/>
          <w:shd w:val="clear" w:color="auto" w:fill="FFFFFF"/>
        </w:rPr>
        <w:t xml:space="preserve"> wyłączeniem stosowania tej ustawy.</w:t>
      </w:r>
      <w:r w:rsidR="009673EA" w:rsidRPr="00037149">
        <w:rPr>
          <w:rFonts w:ascii="Times New Roman" w:hAnsi="Times New Roman"/>
          <w:i/>
          <w:iCs/>
          <w:sz w:val="18"/>
          <w:szCs w:val="18"/>
        </w:rPr>
        <w:t>”</w:t>
      </w:r>
    </w:p>
    <w:p w14:paraId="43395394" w14:textId="77777777" w:rsidR="00037149" w:rsidRPr="009673EA" w:rsidRDefault="00037149" w:rsidP="009673EA">
      <w:pPr>
        <w:jc w:val="both"/>
        <w:rPr>
          <w:rFonts w:ascii="Times New Roman" w:hAnsi="Times New Roman"/>
          <w:i/>
          <w:sz w:val="18"/>
          <w:szCs w:val="18"/>
        </w:rPr>
      </w:pPr>
    </w:p>
    <w:sectPr w:rsidR="00037149" w:rsidRPr="00967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160EA"/>
    <w:multiLevelType w:val="multilevel"/>
    <w:tmpl w:val="E8D00934"/>
    <w:lvl w:ilvl="0">
      <w:start w:val="1"/>
      <w:numFmt w:val="decimal"/>
      <w:lvlText w:val="%1)"/>
      <w:lvlJc w:val="left"/>
      <w:pPr>
        <w:tabs>
          <w:tab w:val="num" w:pos="928"/>
        </w:tabs>
        <w:ind w:left="928" w:hanging="360"/>
      </w:pPr>
      <w:rPr>
        <w:rFonts w:cs="Times New Roman"/>
        <w:color w:val="000000"/>
      </w:rPr>
    </w:lvl>
    <w:lvl w:ilvl="1">
      <w:start w:val="1"/>
      <w:numFmt w:val="bullet"/>
      <w:lvlText w:val="◦"/>
      <w:lvlJc w:val="left"/>
      <w:pPr>
        <w:tabs>
          <w:tab w:val="num" w:pos="1139"/>
        </w:tabs>
        <w:ind w:left="1139" w:hanging="360"/>
      </w:pPr>
      <w:rPr>
        <w:rFonts w:ascii="OpenSymbol" w:hAnsi="OpenSymbol" w:cs="OpenSymbol"/>
      </w:rPr>
    </w:lvl>
    <w:lvl w:ilvl="2">
      <w:start w:val="1"/>
      <w:numFmt w:val="bullet"/>
      <w:lvlText w:val="▪"/>
      <w:lvlJc w:val="left"/>
      <w:pPr>
        <w:tabs>
          <w:tab w:val="num" w:pos="1499"/>
        </w:tabs>
        <w:ind w:left="1499" w:hanging="360"/>
      </w:pPr>
      <w:rPr>
        <w:rFonts w:ascii="OpenSymbol" w:hAnsi="OpenSymbol" w:cs="OpenSymbol"/>
      </w:rPr>
    </w:lvl>
    <w:lvl w:ilvl="3">
      <w:start w:val="1"/>
      <w:numFmt w:val="bullet"/>
      <w:lvlText w:val=""/>
      <w:lvlJc w:val="left"/>
      <w:pPr>
        <w:tabs>
          <w:tab w:val="num" w:pos="1859"/>
        </w:tabs>
        <w:ind w:left="1859" w:hanging="360"/>
      </w:pPr>
      <w:rPr>
        <w:rFonts w:ascii="Symbol" w:hAnsi="Symbol" w:cs="OpenSymbol"/>
      </w:rPr>
    </w:lvl>
    <w:lvl w:ilvl="4">
      <w:start w:val="1"/>
      <w:numFmt w:val="bullet"/>
      <w:lvlText w:val="◦"/>
      <w:lvlJc w:val="left"/>
      <w:pPr>
        <w:tabs>
          <w:tab w:val="num" w:pos="2219"/>
        </w:tabs>
        <w:ind w:left="2219" w:hanging="360"/>
      </w:pPr>
      <w:rPr>
        <w:rFonts w:ascii="OpenSymbol" w:hAnsi="OpenSymbol" w:cs="OpenSymbol"/>
      </w:rPr>
    </w:lvl>
    <w:lvl w:ilvl="5">
      <w:start w:val="1"/>
      <w:numFmt w:val="bullet"/>
      <w:lvlText w:val="▪"/>
      <w:lvlJc w:val="left"/>
      <w:pPr>
        <w:tabs>
          <w:tab w:val="num" w:pos="2579"/>
        </w:tabs>
        <w:ind w:left="2579" w:hanging="360"/>
      </w:pPr>
      <w:rPr>
        <w:rFonts w:ascii="OpenSymbol" w:hAnsi="OpenSymbol" w:cs="OpenSymbol"/>
      </w:rPr>
    </w:lvl>
    <w:lvl w:ilvl="6">
      <w:start w:val="1"/>
      <w:numFmt w:val="bullet"/>
      <w:lvlText w:val=""/>
      <w:lvlJc w:val="left"/>
      <w:pPr>
        <w:tabs>
          <w:tab w:val="num" w:pos="2939"/>
        </w:tabs>
        <w:ind w:left="2939" w:hanging="360"/>
      </w:pPr>
      <w:rPr>
        <w:rFonts w:ascii="Symbol" w:hAnsi="Symbol" w:cs="OpenSymbol"/>
      </w:rPr>
    </w:lvl>
    <w:lvl w:ilvl="7">
      <w:start w:val="1"/>
      <w:numFmt w:val="bullet"/>
      <w:lvlText w:val="◦"/>
      <w:lvlJc w:val="left"/>
      <w:pPr>
        <w:tabs>
          <w:tab w:val="num" w:pos="3299"/>
        </w:tabs>
        <w:ind w:left="3299" w:hanging="360"/>
      </w:pPr>
      <w:rPr>
        <w:rFonts w:ascii="OpenSymbol" w:hAnsi="OpenSymbol" w:cs="OpenSymbol"/>
      </w:rPr>
    </w:lvl>
    <w:lvl w:ilvl="8">
      <w:start w:val="1"/>
      <w:numFmt w:val="bullet"/>
      <w:lvlText w:val="▪"/>
      <w:lvlJc w:val="left"/>
      <w:pPr>
        <w:tabs>
          <w:tab w:val="num" w:pos="3659"/>
        </w:tabs>
        <w:ind w:left="3659" w:hanging="360"/>
      </w:pPr>
      <w:rPr>
        <w:rFonts w:ascii="OpenSymbol" w:hAnsi="OpenSymbol" w:cs="OpenSymbol"/>
      </w:rPr>
    </w:lvl>
  </w:abstractNum>
  <w:num w:numId="1" w16cid:durableId="121608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EA"/>
    <w:rsid w:val="00037149"/>
    <w:rsid w:val="00170869"/>
    <w:rsid w:val="002055C8"/>
    <w:rsid w:val="002503DF"/>
    <w:rsid w:val="00592EF9"/>
    <w:rsid w:val="0069595E"/>
    <w:rsid w:val="0092560D"/>
    <w:rsid w:val="009673EA"/>
    <w:rsid w:val="00A93A0F"/>
    <w:rsid w:val="00E72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01B7"/>
  <w15:chartTrackingRefBased/>
  <w15:docId w15:val="{2E43F208-0446-4DC9-AAE6-00A37B35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73EA"/>
    <w:rPr>
      <w:rFonts w:ascii="Garamond" w:eastAsia="Calibri" w:hAnsi="Garamond"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673EA"/>
    <w:pPr>
      <w:spacing w:after="0" w:line="240" w:lineRule="auto"/>
    </w:pPr>
    <w:rPr>
      <w:rFonts w:ascii="Garamond" w:eastAsia="Calibri" w:hAnsi="Garamond" w:cs="Times New Roman"/>
      <w:sz w:val="24"/>
      <w:szCs w:val="24"/>
    </w:rPr>
  </w:style>
  <w:style w:type="character" w:styleId="Hipercze">
    <w:name w:val="Hyperlink"/>
    <w:basedOn w:val="Domylnaczcionkaakapitu"/>
    <w:uiPriority w:val="99"/>
    <w:semiHidden/>
    <w:unhideWhenUsed/>
    <w:rsid w:val="00037149"/>
    <w:rPr>
      <w:color w:val="0000FF"/>
      <w:u w:val="single"/>
    </w:rPr>
  </w:style>
  <w:style w:type="paragraph" w:styleId="Akapitzlist">
    <w:name w:val="List Paragraph"/>
    <w:basedOn w:val="Normalny"/>
    <w:uiPriority w:val="34"/>
    <w:qFormat/>
    <w:rsid w:val="002055C8"/>
    <w:pPr>
      <w:ind w:left="720"/>
      <w:contextualSpacing/>
    </w:pPr>
  </w:style>
  <w:style w:type="paragraph" w:customStyle="1" w:styleId="Default">
    <w:name w:val="Default"/>
    <w:rsid w:val="00592E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604</Words>
  <Characters>3629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Gmina Winnica</cp:lastModifiedBy>
  <cp:revision>4</cp:revision>
  <dcterms:created xsi:type="dcterms:W3CDTF">2024-04-17T11:46:00Z</dcterms:created>
  <dcterms:modified xsi:type="dcterms:W3CDTF">2024-04-22T09:43:00Z</dcterms:modified>
</cp:coreProperties>
</file>